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生成日期：2026-06-22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明确网络数据安全风险评估机制与流程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《2026年全国节能宣传周工业和信息化领域活动一览》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发文日期：2026-06-18</w:t>
        <w:br/>
        <w:t>原文链接：https://www.miit.gov.cn/wzpz/sylb/index.html</w:t>
      </w:r>
    </w:p>
    <w:p>
      <w:pPr>
        <w:ind w:left="240"/>
      </w:pPr>
      <w:r>
        <w:t>部署工信领域节能宣传周活动安排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《两部门关于联合开展2026年度人形机器人与具身智能实景实训专项行动的通知》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发文日期：2026-06-16</w:t>
        <w:br/>
        <w:t>原文链接：https://www.miit.gov.cn/wzpz/sylb/index.html</w:t>
      </w:r>
    </w:p>
    <w:p>
      <w:pPr>
        <w:ind w:left="240"/>
      </w:pPr>
      <w:r>
        <w:t>推动人形机器人与具身智能实景实训应用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《促进平台经济大中小企业协同发展行动方案》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</w:t>
        <w:br/>
        <w:t>发文日期：2026-06-11</w:t>
        <w:br/>
        <w:t>原文链接：https://www.miit.gov.cn/search/zcwjk.html</w:t>
      </w:r>
    </w:p>
    <w:p>
      <w:pPr>
        <w:ind w:left="240"/>
      </w:pPr>
      <w:r>
        <w:t>促进平台经济领域大中小企业融通发展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发文机关：国家网信办等五部门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规范互联网信息内容多渠道分发服务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部署年度全民数字素养与技能提升工作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调研数据要素市场化配置改革进展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《深入推进数字中国建设专题研究班在深圳开班》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发文日期：2026-05-27</w:t>
        <w:br/>
        <w:t>原文链接：https://www.ndrc.gov.cn/fzggw/wld/llh/zyhd/index.html</w:t>
      </w:r>
    </w:p>
    <w:p>
      <w:pPr>
        <w:ind w:left="240"/>
      </w:pPr>
      <w:r>
        <w:t>培训研讨数字中国建设路径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《刘烈宏出席数据安全发展大会开幕式并启动2026年数据要素×大赛》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启动数据要素×大赛，推动数据应用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《人工智能+信息通信创新发展实施意见（2026—2028年）》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发文日期：2026-06-03</w:t>
        <w:br/>
        <w:t>原文链接：https://hubca.miit.gov.cn/zwgk/zcwj/wjfb/art/2026/art_1a6880738cfc4235afeda815d6ae8ab4.html</w:t>
      </w:r>
    </w:p>
    <w:p>
      <w:pPr>
        <w:ind w:left="240"/>
      </w:pPr>
      <w:r>
        <w:t>推动AI与信息通信融合创新发展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《山西省推进数字经济全面发展实施方案（2026—2028年）》</w:t>
      </w:r>
    </w:p>
    <w:p>
      <w:r>
        <w:rPr>
          <w:color w:val="646464"/>
          <w:sz w:val="20"/>
        </w:rPr>
        <w:t>文　　号：暂无</w:t>
        <w:br/>
        <w:t>发文机关：山西省人民政府</w:t>
        <w:br/>
        <w:t>发文日期：2026-01-04</w:t>
      </w:r>
    </w:p>
    <w:p>
      <w:pPr>
        <w:ind w:left="240"/>
      </w:pPr>
      <w:r>
        <w:t>全面部署数字经济发展任务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《广东省工业和信息化厅关于开展2026年支持推动人工智能赋能新型工业化标杆项目入库储备工作的通知》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发文日期：2026-01-12</w:t>
      </w:r>
    </w:p>
    <w:p>
      <w:pPr>
        <w:ind w:left="240"/>
      </w:pPr>
      <w:r>
        <w:t>支持AI赋能新型工业化项目入库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《上海市经济信息化委关于组织2026年上海市制造业智能化发展项目申报指南》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发文日期：2026-01-12</w:t>
        <w:br/>
        <w:t>原文链接：https://www.sheitc.sh.gov.cn/cyfz/20260112/11e3168ff89a4eeea2b1afd193c19418.html</w:t>
      </w:r>
    </w:p>
    <w:p>
      <w:pPr>
        <w:ind w:left="240"/>
      </w:pPr>
      <w:r>
        <w:t>引导制造业智能化发展项目申报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《工业互联网和人工智能融合赋能行动方案》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发文日期：2026-01-01</w:t>
        <w:br/>
        <w:t>原文链接：https://www.cics-cert.org.cn/web_root/webpage/articlecontent_110027_2038865719046705154.html</w:t>
      </w:r>
    </w:p>
    <w:p>
      <w:pPr>
        <w:ind w:left="240"/>
      </w:pPr>
      <w:r>
        <w:t>推动工业互联网与AI融合赋能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6月，国家网信办密集发布《网络数据安全风险评估办法》《网络测评活动规范》等文件，工信部同步推出《促进平台经济大中小企业协同发展行动方案》。逻辑：这表明监管层正从“框架立法”转向“细则落地”，通过风险评估、测评规范等工具强化数据安全与平台治理的实操性，同时以协同发展方案平衡规范与增长。研判：下半年将出现更多行业性数据安全评估指南，平台经济领域的中小企业合规成本可能短期上升，但长期有利于生态健康。</w:t>
      </w:r>
    </w:p>
    <w:p>
      <w:r>
        <w:rPr>
          <w:b/>
          <w:color w:val="5B6DE4"/>
        </w:rPr>
        <w:t xml:space="preserve">②  </w:t>
      </w:r>
      <w:r>
        <w:t>现象：工信部于2026年6月发布《“人工智能+信息通信”创新发展实施意见（2026—2028年）》，并联合开展人形机器人与具身智能实景实训专项行动。逻辑：政策意图在于以AI为引擎，推动信息通信业从“管道”向“智能服务”转型，同时通过实景实训加速人形机器人产业化，抢占未来产业制高点。研判：未来两年，5G/6G与AI的融合将催生新应用场景，人形机器人有望在制造、服务领域率先落地，但需关注实训数据安全与标准统一问题。</w:t>
      </w:r>
    </w:p>
    <w:p>
      <w:r>
        <w:rPr>
          <w:b/>
          <w:color w:val="5B6DE4"/>
        </w:rPr>
        <w:t xml:space="preserve">③  </w:t>
      </w:r>
      <w:r>
        <w:t>现象：国家数据局局长刘烈宏在2026年5-6月密集调研温州、深圳、东莞等地数据要素市场化配置改革，并启动“数据要素×”大赛。逻辑：数据要素市场化已进入“深水区”，高层调研旨在摸清地方实践难点，通过竞赛激发创新应用，推动数据从“资源”向“资产”转化。研判：数据确权、定价、交易等基础制度有望在2026年下半年取得突破，深圳、浙江等先行地区可能率先出台地方性数据要素流通规则。</w:t>
      </w:r>
    </w:p>
    <w:p>
      <w:r>
        <w:rPr>
          <w:b/>
          <w:color w:val="5B6DE4"/>
        </w:rPr>
        <w:t xml:space="preserve">④  </w:t>
      </w:r>
      <w:r>
        <w:t>现象：2026年6月，工信部发布《促进平台经济大中小企业协同发展行动方案》，强调大中小企业融通。逻辑：平台经济领域“赢者通吃”现象突出，政策旨在通过机制设计，引导大型平台开放资源、技术、数据，带动中小企业创新，防止垄断并激发活力。研判：该方案将推动平台企业调整商业模式，中小企业在数据获取、算力使用方面可能获得更多便利，但需警惕“数据开放”与“商业机密”之间的平衡。</w:t>
      </w:r>
    </w:p>
    <w:p>
      <w:r>
        <w:rPr>
          <w:b/>
          <w:color w:val="5B6DE4"/>
        </w:rPr>
        <w:t xml:space="preserve">⑤  </w:t>
      </w:r>
      <w:r>
        <w:t>现象：重庆市《数字经济促进条例》于2026年6月1日起施行，成为地方数字经济立法的又一重要案例。逻辑：重庆作为西部重镇，通过立法明确数字经济发展方向、数据权益保障、产业支持措施，旨在为本地数字产业提供法治化营商环境，并吸引投资。研判：更多省市将跟进数字经济立法，形成“国家立法+地方条例”的治理体系，西部地区有望通过差异化政策缩小与东部数字鸿沟。</w:t>
      </w:r>
    </w:p>
    <w:p>
      <w:r>
        <w:rPr>
          <w:b/>
          <w:color w:val="5B6DE4"/>
        </w:rPr>
        <w:t xml:space="preserve">⑥  </w:t>
      </w:r>
      <w:r>
        <w:t>现象：中国在2026年6月密集出台AI、数据安全、平台经济等政策，而日本、欧盟、美国同期未见重大新规。逻辑：中国正加速构建“发展与安全并重”的数字治理体系，通过“小快灵”立法（如AI拟人化服务规范）快速响应技术迭代，而欧美仍处于前期法案审议或框架调整阶段。研判：中国在数字政策领域的“先行先试”可能形成制度优势，但也需关注国际规则差异带来的跨境合规挑战，尤其在数据跨境流动和AI伦理方面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