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生成日期：2026-06-17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《工信部印发《“人工智能+信息通信”创新发展实施意见（2026）》》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发文日期：2026-06-11</w:t>
        <w:br/>
        <w:t>原文链接：https://hubca.miit.gov.cn/zwgk/zcwj/wjfb/art/2026/art_1a6880738cfc4235afeda815d6ae8ab4.html</w:t>
      </w:r>
    </w:p>
    <w:p>
      <w:pPr>
        <w:ind w:left="240"/>
      </w:pPr>
      <w:r>
        <w:t>推动AI与信息通信融合，构建监管智能决策中枢，强化安全保障。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《国家网信办等三部门联合印发《智能体规范应用与创新发展实施意见》》</w:t>
      </w:r>
    </w:p>
    <w:p>
      <w:r>
        <w:rPr>
          <w:color w:val="646464"/>
          <w:sz w:val="20"/>
        </w:rPr>
        <w:t>文　　号：暂无</w:t>
        <w:br/>
        <w:t>发文机关：国家互联网信息办公室、国家发展改革委、工业和信息化部</w:t>
        <w:br/>
        <w:t>发文日期：2026-05-08</w:t>
        <w:br/>
        <w:t>原文链接：https://www.cac.gov.cn/wxzw/wxfb/A093702index_1.htm</w:t>
      </w:r>
    </w:p>
    <w:p>
      <w:pPr>
        <w:ind w:left="240"/>
      </w:pPr>
      <w:r>
        <w:t>规范智能体应用，促进创新发展，构建治理体系。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《国家网信办发布生成式人工智能服务已备案信息公告（2026年3月至4月）》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发文日期：2026-05-13</w:t>
        <w:br/>
        <w:t>原文链接：https://www.cac.gov.cn/wxzw/wxfb/A093702index_1.htm</w:t>
      </w:r>
    </w:p>
    <w:p>
      <w:pPr>
        <w:ind w:left="240"/>
      </w:pPr>
      <w:r>
        <w:t>公布生成式AI服务备案信息，强化合规监管透明度。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《国家网信办发布第二十三批境内区块链信息服务备案编号公告》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发文日期：2026-05-12</w:t>
        <w:br/>
        <w:t>原文链接：https://www.cac.gov.cn/wxzw/wxfb/A093702index_1.htm</w:t>
      </w:r>
    </w:p>
    <w:p>
      <w:pPr>
        <w:ind w:left="240"/>
      </w:pPr>
      <w:r>
        <w:t>持续推进区块链信息服务备案管理。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《上海印发数据出境负面清单管理办法及2025版清单》</w:t>
      </w:r>
    </w:p>
    <w:p>
      <w:r>
        <w:rPr>
          <w:color w:val="646464"/>
          <w:sz w:val="20"/>
        </w:rPr>
        <w:t>文　　号：暂无</w:t>
        <w:br/>
        <w:t>发文机关：上海市网信办、上海市数据局</w:t>
        <w:br/>
        <w:t>发文日期：2026-04-30</w:t>
      </w:r>
    </w:p>
    <w:p>
      <w:pPr>
        <w:ind w:left="240"/>
      </w:pPr>
      <w:r>
        <w:t>明确自贸区及临港新片区数据出境负面清单，便利合规。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《广东省工信厅关于开展2026年支持推动人工智能赋能新型工业化标杆项目入库储备工作的通知》</w:t>
      </w:r>
    </w:p>
    <w:p>
      <w:r>
        <w:rPr>
          <w:color w:val="646464"/>
          <w:sz w:val="20"/>
        </w:rPr>
        <w:t>文　　号：暂无</w:t>
        <w:br/>
        <w:t>发文机关：广东省工业和信息化厅</w:t>
        <w:br/>
        <w:t>发文日期：2026-06-01</w:t>
        <w:br/>
        <w:t>原文链接：http://www.jiangmen.gov.cn/jmgxj/attachment/0/349/349704/3350943.pdf</w:t>
      </w:r>
    </w:p>
    <w:p>
      <w:pPr>
        <w:ind w:left="240"/>
      </w:pPr>
      <w:r>
        <w:t>聚焦AI赋能新型工业化，组织标杆项目入库储备。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《国家数据局局长刘烈宏赴温州、深圳、东莞调研数据要素市场化配置改革工作》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发文日期：2026-06-01</w:t>
        <w:br/>
        <w:t>原文链接：https://www.ndrc.gov.cn/fzggw/wld/llh/zyhd/index.html</w:t>
      </w:r>
    </w:p>
    <w:p>
      <w:pPr>
        <w:ind w:left="240"/>
      </w:pPr>
      <w:r>
        <w:t>调研数据要素市场化配置改革，推动全国统一数据产权制度。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《《2026年数字经济发展工作要点》印发》</w:t>
      </w:r>
    </w:p>
    <w:p>
      <w:r>
        <w:rPr>
          <w:color w:val="646464"/>
          <w:sz w:val="20"/>
        </w:rPr>
        <w:t>文　　号：暂无</w:t>
        <w:br/>
        <w:t>发文机关：国家发展改革委、国家数据局</w:t>
        <w:br/>
        <w:t>发文日期：2026-05-21</w:t>
      </w:r>
    </w:p>
    <w:p>
      <w:pPr>
        <w:ind w:left="240"/>
      </w:pPr>
      <w:r>
        <w:t>深化数据要素改革，建设全国一体化算力网，强化数据赋能AI。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《工信部印发《工业互联网和人工智能融合赋能行动方案》》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发文日期：2026-01-01</w:t>
      </w:r>
    </w:p>
    <w:p>
      <w:pPr>
        <w:ind w:left="240"/>
      </w:pPr>
      <w:r>
        <w:t>推动工业互联网与AI融合，实施四大行动。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《工信部印发《推动工业互联网平台高质量发展行动方案（2026—2028年）》》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发文日期：2026-01-13</w:t>
        <w:br/>
        <w:t>原文链接：https://www.miit.gov.cn/jgsj/xxjsfzs/gzdt/art/2026/art_926b6c211725491ca89ca218379405e1.html</w:t>
      </w:r>
    </w:p>
    <w:p>
      <w:pPr>
        <w:ind w:left="240"/>
      </w:pPr>
      <w:r>
        <w:t>促进工业互联网平台高质量发展，提升产业赋能水平。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《欧盟《人工智能法案》（AI Act）正式生效》</w:t>
      </w:r>
    </w:p>
    <w:p>
      <w:r>
        <w:rPr>
          <w:color w:val="646464"/>
          <w:sz w:val="20"/>
        </w:rPr>
        <w:t>文　　号：暂无</w:t>
        <w:br/>
        <w:t>发文机关：欧盟委员会</w:t>
        <w:br/>
        <w:t>发文日期：2026-01-01</w:t>
      </w:r>
    </w:p>
    <w:p>
      <w:pPr>
        <w:ind w:left="240"/>
      </w:pPr>
      <w:r>
        <w:t>全球首部全面AI监管法律生效，按风险分级管理。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《日本数字厅发布《AI治理框架2026》》</w:t>
      </w:r>
    </w:p>
    <w:p>
      <w:r>
        <w:rPr>
          <w:color w:val="646464"/>
          <w:sz w:val="20"/>
        </w:rPr>
        <w:t>文　　号：暂无</w:t>
        <w:br/>
        <w:t>发文机关：日本数字厅</w:t>
        <w:br/>
        <w:t>发文日期：2026-03-15</w:t>
      </w:r>
    </w:p>
    <w:p>
      <w:pPr>
        <w:ind w:left="240"/>
      </w:pPr>
      <w:r>
        <w:t>建立AI治理框架，推动可信AI与产业应用。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智能体治理制度化）：2026年5月，国家网信办等三部门联合印发《智能体规范应用与创新发展实施意见》，首次在国家层面将“智能体”作为独立监管对象。此举表明政策重心从传统AI模型转向自主决策的智能体系统，意图在鼓励创新的同时防范失控风险。下一步，预计将出台配套技术标准和安全评估细则，企业需提前布局智能体合规能力。</w:t>
      </w:r>
    </w:p>
    <w:p>
      <w:r>
        <w:rPr>
          <w:b/>
          <w:color w:val="5B6DE4"/>
        </w:rPr>
        <w:t xml:space="preserve">②  </w:t>
      </w:r>
      <w:r>
        <w:t>趋势2（数据要素市场化加速落地）：国家数据局局长刘烈宏6月初赴多地调研数据要素改革，同期《2026年数字经济发展工作要点》明确加快建立全国统一数据产权登记制度。政策逻辑是从“确权”入手打通流通堵点，推动公共数据授权运营。研判：年内有望出台数据产权登记指引，数据交易所将迎来新一轮整合与规范化。</w:t>
      </w:r>
    </w:p>
    <w:p>
      <w:r>
        <w:rPr>
          <w:b/>
          <w:color w:val="5B6DE4"/>
        </w:rPr>
        <w:t xml:space="preserve">③  </w:t>
      </w:r>
      <w:r>
        <w:t>趋势3（AI+工业互联网深度融合）：工信部年初接连印发《工业互联网和人工智能融合赋能行动方案》和《推动工业互联网平台高质量发展行动方案（2026—2028年）》，上海、广东等地同步启动智能化项目申报。这表明国家正以“平台+AI”双轮驱动制造业数字化转型，重点解决中小企业“不敢转、不会转”问题。未来两年，工业AI应用场景将加速落地，但需警惕数据孤岛和标准不统一带来的碎片化风险。</w:t>
      </w:r>
    </w:p>
    <w:p>
      <w:r>
        <w:rPr>
          <w:b/>
          <w:color w:val="5B6DE4"/>
        </w:rPr>
        <w:t xml:space="preserve">④  </w:t>
      </w:r>
      <w:r>
        <w:t>趋势4（算力布局从规模扩张转向协同优化）：天津、山西等地相继发布算力产业发展方案，强调“通用算力、智能算力、超级算力一体化布局”和“算力与数据、算法一体化应用”。政策信号明确：算力建设不再单纯追求规模，而是注重区域协同、绿色安全和赋能实效。预计全国一体化算力网将加速形成，东数西算工程进入精细化运营阶段。</w:t>
      </w:r>
    </w:p>
    <w:p>
      <w:r>
        <w:rPr>
          <w:b/>
          <w:color w:val="5B6DE4"/>
        </w:rPr>
        <w:t xml:space="preserve">⑤  </w:t>
      </w:r>
      <w:r>
        <w:t>趋势5（数据出境合规进入“负面清单”时代）：上海率先印发数据出境负面清单管理办法及2025版清单，在自贸区试点“清单外默认自由”模式。这标志着我国数据跨境流动从“逐案审批”向“清单管理+分类监管”转变，既保障安全又便利贸易。其他自贸区可能跟进复制，企业应密切关注负面清单动态，提前梳理数据出境场景。</w:t>
      </w:r>
    </w:p>
    <w:p>
      <w:r>
        <w:rPr>
          <w:b/>
          <w:color w:val="5B6DE4"/>
        </w:rPr>
        <w:t xml:space="preserve">⑥  </w:t>
      </w:r>
      <w:r>
        <w:t>趋势6（国际比较：中国“发展优先”vs欧盟“风险防控”vs日本“敏捷治理”）：中国2026年密集出台智能体、工业互联网等促进性政策，侧重产业赋能；欧盟AI Act正式生效，以风险分级和严格合规为核心；日本数字厅发布《AI治理框架2026》，强调“敏捷治理”和行业自律。中国模式更强调“在发展中规范”，欧盟侧重“以规范促信任”，日本则走中间路线。启示：中国企业出海需同时满足多套合规要求，建议建立分层合规体系，优先对标欧盟高风险条款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