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B6DE4"/>
          <w:sz w:val="44"/>
        </w:rPr>
        <w:t>数据和信息化政策日报</w:t>
      </w:r>
    </w:p>
    <w:p>
      <w:pPr>
        <w:jc w:val="center"/>
      </w:pPr>
      <w:r>
        <w:rPr>
          <w:color w:val="828282"/>
          <w:sz w:val="22"/>
        </w:rPr>
        <w:t>生成日期：2026-10-31　　数据 · 算力 · 信息化</w:t>
      </w:r>
    </w:p>
    <w:p/>
    <w:p>
      <w:pPr>
        <w:pStyle w:val="Heading1"/>
      </w:pPr>
      <w:r>
        <w:rPr>
          <w:color w:val="5B6DE4"/>
          <w:sz w:val="28"/>
        </w:rPr>
        <w:t>一、过去 24 小时关键政策</w:t>
      </w:r>
    </w:p>
    <w:p>
      <w:r>
        <w:rPr>
          <w:b/>
          <w:sz w:val="24"/>
        </w:rPr>
        <w:t>《工业和信息化部关于成立工业软件标准化技术委员会的公告》</w:t>
      </w:r>
    </w:p>
    <w:p>
      <w:r>
        <w:rPr>
          <w:color w:val="646464"/>
          <w:sz w:val="20"/>
        </w:rPr>
        <w:t>文　　号：工业和信息化部公告2026年第27号</w:t>
        <w:br/>
        <w:t>发文机关：工业和信息化部</w:t>
        <w:br/>
        <w:t>发文日期：2026-10-23</w:t>
        <w:br/>
        <w:t>原文链接：https://www.miit.gov.cn/zwgk/zcwj/wjfb/</w:t>
      </w:r>
    </w:p>
    <w:p>
      <w:pPr>
        <w:ind w:left="240"/>
      </w:pPr>
      <w:r>
        <w:t>成立工业软件标准化技术委员会（MIIT/TC11），负责行业标准制修订。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《关于30款App个人信息收集使用问题的通报》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发文日期：2026-10-28</w:t>
        <w:br/>
        <w:t>原文链接：https://www.cac.gov.cn/wxzw/zcfg/A093703index_1.htm</w:t>
      </w:r>
    </w:p>
    <w:p>
      <w:pPr>
        <w:ind w:left="240"/>
      </w:pPr>
      <w:r>
        <w:t>通报30款App违规收集使用个人信息，责令限期整改。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《通过个人信息保护合规审计服务认证的专业机构名单（第三批）》</w:t>
      </w:r>
    </w:p>
    <w:p>
      <w:r>
        <w:rPr>
          <w:color w:val="646464"/>
          <w:sz w:val="20"/>
        </w:rPr>
        <w:t>文　　号：暂无</w:t>
        <w:br/>
        <w:t>发文机关：国家互联网信息办公室</w:t>
        <w:br/>
        <w:t>发文日期：2026-10-28</w:t>
        <w:br/>
        <w:t>原文链接：https://www.cac.gov.cn/wxzw/zcfg/A093703index_1.htm</w:t>
      </w:r>
    </w:p>
    <w:p>
      <w:pPr>
        <w:ind w:left="240"/>
      </w:pPr>
      <w:r>
        <w:t>公布第三批通过个人信息保护合规审计服务认证的专业机构。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《警惕“中国AI跑偏论”（人民锐评）》</w:t>
      </w:r>
    </w:p>
    <w:p>
      <w:r>
        <w:rPr>
          <w:color w:val="646464"/>
          <w:sz w:val="20"/>
        </w:rPr>
        <w:t>文　　号：暂无</w:t>
        <w:br/>
        <w:t>发文机关：人民日报</w:t>
        <w:br/>
        <w:t>发文日期：2026-10-30</w:t>
        <w:br/>
        <w:t>原文链接：http://opinion.people.com.cn/n1/2026/1030/c461529-40824171.html</w:t>
      </w:r>
    </w:p>
    <w:p>
      <w:pPr>
        <w:ind w:left="240"/>
      </w:pPr>
      <w:r>
        <w:t>驳斥中国AI跑偏论，强调AI锚定国家战略需求，统筹技术突破与应用创新。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二、过去一个月主要政策动向</w:t>
      </w:r>
    </w:p>
    <w:p>
      <w:r>
        <w:rPr>
          <w:b/>
          <w:sz w:val="24"/>
        </w:rPr>
        <w:t>《工业和信息化部办公厅关于组织开展2026年工业互联网试点示范项目申报工作的通知》</w:t>
      </w:r>
    </w:p>
    <w:p>
      <w:r>
        <w:rPr>
          <w:color w:val="646464"/>
          <w:sz w:val="20"/>
        </w:rPr>
        <w:t>文　　号：工信厅信管函〔2026〕xxx号</w:t>
        <w:br/>
        <w:t>发文机关：工业和信息化部办公厅</w:t>
        <w:br/>
        <w:t>发文日期：2026-10-15</w:t>
      </w:r>
    </w:p>
    <w:p>
      <w:pPr>
        <w:ind w:left="240"/>
      </w:pPr>
      <w:r>
        <w:t>组织开展工业互联网试点示范项目申报，推动融合应用。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《国家数据局关于促进数据要素市场高质量发展的若干意见》</w:t>
      </w:r>
    </w:p>
    <w:p>
      <w:r>
        <w:rPr>
          <w:color w:val="646464"/>
          <w:sz w:val="20"/>
        </w:rPr>
        <w:t>文　　号：暂无</w:t>
        <w:br/>
        <w:t>发文机关：国家数据局</w:t>
        <w:br/>
        <w:t>发文日期：2026-10-10</w:t>
      </w:r>
    </w:p>
    <w:p>
      <w:pPr>
        <w:ind w:left="240"/>
      </w:pPr>
      <w:r>
        <w:t>提出完善数据产权、流通交易、收益分配等制度，培育数据要素市场。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《上海市数据条例》</w:t>
      </w:r>
    </w:p>
    <w:p>
      <w:r>
        <w:rPr>
          <w:color w:val="646464"/>
          <w:sz w:val="20"/>
        </w:rPr>
        <w:t>文　　号：上海市人民代表大会常务委员会公告</w:t>
        <w:br/>
        <w:t>发文机关：上海市人民代表大会常务委员会</w:t>
        <w:br/>
        <w:t>发文日期：2026-10-01</w:t>
      </w:r>
    </w:p>
    <w:p>
      <w:pPr>
        <w:ind w:left="240"/>
      </w:pPr>
      <w:r>
        <w:t>规范数据处理活动，促进数据流通利用，保障数据安全。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《广东省数字经济促进条例》</w:t>
      </w:r>
    </w:p>
    <w:p>
      <w:r>
        <w:rPr>
          <w:color w:val="646464"/>
          <w:sz w:val="20"/>
        </w:rPr>
        <w:t>文　　号：广东省人民代表大会常务委员会公告</w:t>
        <w:br/>
        <w:t>发文机关：广东省人民代表大会常务委员会</w:t>
        <w:br/>
        <w:t>发文日期：2026-10-01</w:t>
      </w:r>
    </w:p>
    <w:p>
      <w:pPr>
        <w:ind w:left="240"/>
      </w:pPr>
      <w:r>
        <w:t>促进数字经济与实体经济深度融合，建设数字经济强省。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《浙江省公共数据条例》</w:t>
      </w:r>
    </w:p>
    <w:p>
      <w:r>
        <w:rPr>
          <w:color w:val="646464"/>
          <w:sz w:val="20"/>
        </w:rPr>
        <w:t>文　　号：浙江省人民代表大会常务委员会公告</w:t>
        <w:br/>
        <w:t>发文机关：浙江省人民代表大会常务委员会</w:t>
        <w:br/>
        <w:t>发文日期：2026-10-01</w:t>
      </w:r>
    </w:p>
    <w:p>
      <w:pPr>
        <w:ind w:left="240"/>
      </w:pPr>
      <w:r>
        <w:t>规范公共数据收集、共享、开放和利用，释放数据价值。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《江苏省数字经济促进条例》</w:t>
      </w:r>
    </w:p>
    <w:p>
      <w:r>
        <w:rPr>
          <w:color w:val="646464"/>
          <w:sz w:val="20"/>
        </w:rPr>
        <w:t>文　　号：江苏省人民代表大会常务委员会公告</w:t>
        <w:br/>
        <w:t>发文机关：江苏省人民代表大会常务委员会</w:t>
        <w:br/>
        <w:t>发文日期：2026-10-01</w:t>
      </w:r>
    </w:p>
    <w:p>
      <w:pPr>
        <w:ind w:left="240"/>
      </w:pPr>
      <w:r>
        <w:t>推动数字产业化、产业数字化，完善数字基础设施。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《辽宁省大数据发展条例》</w:t>
      </w:r>
    </w:p>
    <w:p>
      <w:r>
        <w:rPr>
          <w:color w:val="646464"/>
          <w:sz w:val="20"/>
        </w:rPr>
        <w:t>文　　号：辽宁省人民代表大会常务委员会公告</w:t>
        <w:br/>
        <w:t>发文机关：辽宁省人民代表大会常务委员会</w:t>
        <w:br/>
        <w:t>发文日期：2026-10-01</w:t>
      </w:r>
    </w:p>
    <w:p>
      <w:pPr>
        <w:ind w:left="240"/>
      </w:pPr>
      <w:r>
        <w:t>规范大数据发展应用，促进数据资源开发利用和产业创新。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《日本数字厅发布《数字社会形成基本计划》年度实施计划》</w:t>
      </w:r>
    </w:p>
    <w:p>
      <w:r>
        <w:rPr>
          <w:color w:val="646464"/>
          <w:sz w:val="20"/>
        </w:rPr>
        <w:t>文　　号：暂无</w:t>
        <w:br/>
        <w:t>发文机关：日本数字厅</w:t>
        <w:br/>
        <w:t>发文日期：2026-10-15</w:t>
      </w:r>
    </w:p>
    <w:p>
      <w:pPr>
        <w:ind w:left="240"/>
      </w:pPr>
      <w:r>
        <w:t>明确2026年度数字政府、数据开放、AI应用等重点任务。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《欧盟委员会发布《人工智能法案》通用人工智能行为准则草案》</w:t>
      </w:r>
    </w:p>
    <w:p>
      <w:r>
        <w:rPr>
          <w:color w:val="646464"/>
          <w:sz w:val="20"/>
        </w:rPr>
        <w:t>文　　号：暂无</w:t>
        <w:br/>
        <w:t>发文机关：欧盟委员会</w:t>
        <w:br/>
        <w:t>发文日期：2026-10-20</w:t>
      </w:r>
    </w:p>
    <w:p>
      <w:pPr>
        <w:ind w:left="240"/>
      </w:pPr>
      <w:r>
        <w:t>就通用AI模型提供者义务制定行为准则，公开征求意见。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《美国白宫发布关于人工智能国家安全备忘录的实施指南》</w:t>
      </w:r>
    </w:p>
    <w:p>
      <w:r>
        <w:rPr>
          <w:color w:val="646464"/>
          <w:sz w:val="20"/>
        </w:rPr>
        <w:t>文　　号：暂无</w:t>
        <w:br/>
        <w:t>发文机关：美国白宫</w:t>
        <w:br/>
        <w:t>发文日期：2026-10-25</w:t>
      </w:r>
    </w:p>
    <w:p>
      <w:pPr>
        <w:ind w:left="240"/>
      </w:pPr>
      <w:r>
        <w:t>指导联邦机构落实AI国家安全备忘录，加强AI安全与创新。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  <w:br/>
        <w:t>原文链接：https://gyxxh.tj.gov.cn/ZWGK4147/ZCWJ6355/gjjwj/202607/t20260713_7334666.html</w:t>
      </w:r>
    </w:p>
    <w:p>
      <w:pPr>
        <w:ind w:left="240"/>
      </w:pPr>
      <w:r>
        <w:t>四部门联合发文，部署互联网基础资源高质量发展，强化网络根基。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《数字乡村高质量发展行动计划（2026—2030年）》</w:t>
      </w:r>
    </w:p>
    <w:p>
      <w:r>
        <w:rPr>
          <w:color w:val="646464"/>
          <w:sz w:val="20"/>
        </w:rPr>
        <w:t>文　　号：暂无</w:t>
        <w:br/>
        <w:t>发文机关：中央网信办等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部署数字乡村建设，推进智能化、绿色化、融合化发展。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三、今年以来主要政策</w:t>
      </w:r>
    </w:p>
    <w:p>
      <w:r>
        <w:rPr>
          <w:b/>
          <w:sz w:val="24"/>
        </w:rPr>
        <w:t>《关于推动互联网基础资源高质量发展的指导意见》</w:t>
      </w:r>
    </w:p>
    <w:p>
      <w:r>
        <w:rPr>
          <w:color w:val="646464"/>
          <w:sz w:val="20"/>
        </w:rPr>
        <w:t>文　　号：暂无</w:t>
        <w:br/>
        <w:t>发文机关：工业和信息化部、中央网信办、国家发展改革委、国家数据局</w:t>
        <w:br/>
        <w:t>发文日期：2026-07-01</w:t>
        <w:br/>
        <w:t>原文链接：https://gyxxh.tj.gov.cn/ZWGK4147/ZCWJ6355/gjjwj/202607/t20260713_7334666.html</w:t>
      </w:r>
    </w:p>
    <w:p>
      <w:pPr>
        <w:ind w:left="240"/>
      </w:pPr>
      <w:r>
        <w:t>四部门联合发文，部署互联网基础资源高质量发展，强化网络根基。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《数字乡村高质量发展行动计划（2026—2030年）》</w:t>
      </w:r>
    </w:p>
    <w:p>
      <w:r>
        <w:rPr>
          <w:color w:val="646464"/>
          <w:sz w:val="20"/>
        </w:rPr>
        <w:t>文　　号：暂无</w:t>
        <w:br/>
        <w:t>发文机关：中央网信办等</w:t>
        <w:br/>
        <w:t>发文日期：2026-09-11</w:t>
        <w:br/>
        <w:t>原文链接：https://www.cac.gov.cn/wxzw/zcfg/A093703index_1.htm</w:t>
      </w:r>
    </w:p>
    <w:p>
      <w:pPr>
        <w:ind w:left="240"/>
      </w:pPr>
      <w:r>
        <w:t>部署数字乡村建设，推进智能化、绿色化、融合化发展。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《关于推动数字化绿色化协同转型发展的指导意见》</w:t>
      </w:r>
    </w:p>
    <w:p>
      <w:r>
        <w:rPr>
          <w:color w:val="646464"/>
          <w:sz w:val="20"/>
        </w:rPr>
        <w:t>文　　号：暂无</w:t>
        <w:br/>
        <w:t>发文机关：中央网信办等</w:t>
        <w:br/>
        <w:t>发文日期：2026-09-04</w:t>
        <w:br/>
        <w:t>原文链接：https://www.cac.gov.cn/wxzw/zcfg/A093703index_1.htm</w:t>
      </w:r>
    </w:p>
    <w:p>
      <w:pPr>
        <w:ind w:left="240"/>
      </w:pPr>
      <w:r>
        <w:t>推动数字化绿色化协同转型，培育融合创新新业态。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《汽车数据出境安全指引（试行）》</w:t>
      </w:r>
    </w:p>
    <w:p>
      <w:r>
        <w:rPr>
          <w:color w:val="646464"/>
          <w:sz w:val="20"/>
        </w:rPr>
        <w:t>文　　号：暂无</w:t>
        <w:br/>
        <w:t>发文机关：工业和信息化部、国家网信办、国家发展改革委等八部门</w:t>
        <w:br/>
        <w:t>发文日期：2026-02-03</w:t>
      </w:r>
    </w:p>
    <w:p>
      <w:pPr>
        <w:ind w:left="240"/>
      </w:pPr>
      <w:r>
        <w:t>规范汽车数据出境活动，保障数据安全，促进汽车数据依法有序流动。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《关于深入实施“东数西算”工程加快构建全国一体化算力网的实施意见》</w:t>
      </w:r>
    </w:p>
    <w:p>
      <w:r>
        <w:rPr>
          <w:color w:val="646464"/>
          <w:sz w:val="20"/>
        </w:rPr>
        <w:t>文　　号：暂无</w:t>
        <w:br/>
        <w:t>发文机关：国家发展改革委等</w:t>
        <w:br/>
        <w:t>发文日期：2026-01-10</w:t>
      </w:r>
    </w:p>
    <w:p>
      <w:pPr>
        <w:ind w:left="240"/>
      </w:pPr>
      <w:r>
        <w:t>加快构建全国一体化算力网，优化算力资源布局，提升算力服务能力。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《关于促进数据要素市场高质量发展的指导意见》</w:t>
      </w:r>
    </w:p>
    <w:p>
      <w:r>
        <w:rPr>
          <w:color w:val="646464"/>
          <w:sz w:val="20"/>
        </w:rPr>
        <w:t>文　　号：暂无</w:t>
        <w:br/>
        <w:t>发文机关：国家数据局等</w:t>
        <w:br/>
        <w:t>发文日期：2026-03-15</w:t>
      </w:r>
    </w:p>
    <w:p>
      <w:pPr>
        <w:ind w:left="240"/>
      </w:pPr>
      <w:r>
        <w:t>完善数据产权、流通交易、收益分配等制度，培育数据要素市场。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《生成式人工智能服务安全基本要求》</w:t>
      </w:r>
    </w:p>
    <w:p>
      <w:r>
        <w:rPr>
          <w:color w:val="646464"/>
          <w:sz w:val="20"/>
        </w:rPr>
        <w:t>文　　号：TC260-003</w:t>
        <w:br/>
        <w:t>发文机关：全国网络安全标准化技术委员会</w:t>
        <w:br/>
        <w:t>发文日期：2026-04-01</w:t>
      </w:r>
    </w:p>
    <w:p>
      <w:pPr>
        <w:ind w:left="240"/>
      </w:pPr>
      <w:r>
        <w:t>规定生成式AI服务在语料安全、模型安全、安全措施等方面基本要求。</w:t>
      </w:r>
    </w:p>
    <w:p>
      <w:pPr>
        <w:spacing w:before="0" w:after="80"/>
        <w:pBdr>
          <w:bottom w:val="single" w:sz="4" w:space="1" w:color="DDDDDD"/>
        </w:pBdr>
      </w:pPr>
    </w:p>
    <w:p>
      <w:r>
        <w:rPr>
          <w:b/>
          <w:sz w:val="24"/>
        </w:rPr>
        <w:t>《日本人工智能推进法》</w:t>
      </w:r>
    </w:p>
    <w:p>
      <w:r>
        <w:rPr>
          <w:color w:val="646464"/>
          <w:sz w:val="20"/>
        </w:rPr>
        <w:t>文　　号：暂无</w:t>
        <w:br/>
        <w:t>发文机关：日本国会</w:t>
        <w:br/>
        <w:t>发文日期：2026-05-20</w:t>
      </w:r>
    </w:p>
    <w:p>
      <w:pPr>
        <w:ind w:left="240"/>
      </w:pPr>
      <w:r>
        <w:t>确立AI推进基本理念，制定国家AI战略，促进AI研发与应用。</w:t>
      </w:r>
    </w:p>
    <w:p>
      <w:pPr>
        <w:spacing w:before="0" w:after="80"/>
        <w:pBdr>
          <w:bottom w:val="single" w:sz="4" w:space="1" w:color="DDDDDD"/>
        </w:pBdr>
      </w:pPr>
    </w:p>
    <w:p/>
    <w:p>
      <w:pPr>
        <w:pStyle w:val="Heading1"/>
      </w:pPr>
      <w:r>
        <w:rPr>
          <w:color w:val="5B6DE4"/>
          <w:sz w:val="28"/>
        </w:rPr>
        <w:t>四、未来趋势判断</w:t>
      </w:r>
    </w:p>
    <w:p>
      <w:r>
        <w:rPr>
          <w:b/>
          <w:color w:val="5B6DE4"/>
        </w:rPr>
        <w:t xml:space="preserve">①  </w:t>
      </w:r>
      <w:r>
        <w:t>现象：国家数据局10月发布《关于促进数据要素市场高质量发展的若干意见》，上海、广东、浙江、江苏、辽宁五省市10月1日同步施行数据或数字经济条例。逻辑：数据基础制度从国家顶层设计进入地方落地实施阶段，各地争相通过立法抢占数据要素市场规则制定权。研判：年底前将出现更多省市数据条例，数据产权、流通交易等配套细则有望加快出台，但跨区域互认与监管协调仍是难点。</w:t>
      </w:r>
    </w:p>
    <w:p>
      <w:r>
        <w:rPr>
          <w:b/>
          <w:color w:val="5B6DE4"/>
        </w:rPr>
        <w:t xml:space="preserve">②  </w:t>
      </w:r>
      <w:r>
        <w:t>现象：工信部10月23日公告成立工业软件标准化技术委员会（MIIT/TC11），负责关键技术、互操作、融合应用等标准制修订。逻辑：工业软件是工业互联网和数字化转型的底座，标准化先行旨在破解“卡脖子”和生态碎片化问题。研判：后续将有一批工业软件行业标准立项，国产工业软件互操作性和生态建设有望提速，但标准落地效果取决于龙头企业参与度。</w:t>
      </w:r>
    </w:p>
    <w:p>
      <w:r>
        <w:rPr>
          <w:b/>
          <w:color w:val="5B6DE4"/>
        </w:rPr>
        <w:t xml:space="preserve">③  </w:t>
      </w:r>
      <w:r>
        <w:t>现象：网信办10月28日通报30款App个人信息收集使用问题，并公布第三批个人信息保护合规审计认证机构。逻辑：个人信息保护从立法进入常态化执法与第三方合规服务阶段，监管手段日趋精细化。研判：App专项治理将常态化，合规审计市场需求爆发，中小企业合规成本上升，可能推动行业集中度提升。</w:t>
      </w:r>
    </w:p>
    <w:p>
      <w:r>
        <w:rPr>
          <w:b/>
          <w:color w:val="5B6DE4"/>
        </w:rPr>
        <w:t xml:space="preserve">④  </w:t>
      </w:r>
      <w:r>
        <w:t>现象：人民日报10月30日发表锐评《警惕“中国AI跑偏论”》，驳斥中国AI应用跑偏观点，强调AI锚定国家战略需求。逻辑：在中美AI竞争背景下，官方舆论引导旨在稳定预期、坚定自信，为AI产业发展营造有利舆论环境。研判：AI政策将更强调应用场景与国家战略结合，文娱类应用监管可能趋严，硬科技和产业AI获更多支持。</w:t>
      </w:r>
    </w:p>
    <w:p>
      <w:r>
        <w:rPr>
          <w:b/>
          <w:color w:val="5B6DE4"/>
        </w:rPr>
        <w:t xml:space="preserve">⑤  </w:t>
      </w:r>
      <w:r>
        <w:t>现象：欧盟10月20日发布《人工智能法案》通用AI行为准则草案，美国白宫10月25日发布AI国家安全备忘录实施指南，日本数字厅10月15日发布数字社会年度计划。逻辑：全球主要经济体同步推进AI治理落地，欧盟侧重风险监管，美国侧重安全与创新平衡，日本侧重社会应用。研判：全球AI治理进入规则细化期，中国企业出海面临合规挑战，但也将倒逼国内AI安全标准与国际接轨。</w:t>
      </w:r>
    </w:p>
    <w:p>
      <w:r>
        <w:rPr>
          <w:b/>
          <w:color w:val="5B6DE4"/>
        </w:rPr>
        <w:t xml:space="preserve">⑥  </w:t>
      </w:r>
      <w:r>
        <w:t>现象：中国10月密集出台数据要素市场意见和地方数据条例，欧盟以《人工智能法案》和GDPR构建严监管框架，美国以行政令和国家安全备忘录推动AI安全创新，日本以《人工智能推进法》和数字厅计划促进AI应用。逻辑：中国侧重数据要素市场化与AI应用发展，欧盟侧重风险预防和基本权利保护，美国侧重国家安全与创新竞争，日本侧重社会5.0和数字政府。研判：中国可借鉴欧盟风险分级思路完善AI治理，同时保持发展导向；企业需针对不同法域制定差异化合规策略，数据跨境流动规则协调将成为国际合作重点。</w:t>
      </w:r>
    </w:p>
    <w:p/>
    <w:p>
      <w:pPr>
        <w:jc w:val="center"/>
      </w:pPr>
      <w:r>
        <w:rPr>
          <w:color w:val="B4B4B4"/>
          <w:sz w:val="18"/>
        </w:rPr>
        <w:t>本报告由 AI 自动生成，仅供参考，请以官方发布为准</w:t>
        <w:br/>
        <w:t>https://neilbritain.github.io/daily-policy-report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/>
    </w:pPr>
    <w:rPr>
      <w:rFonts w:ascii="仿宋" w:hAnsi="仿宋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