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生成日期：2026-10-03　　数据 · 算力 · 信息化</w:t>
      </w:r>
    </w:p>
    <w:p/>
    <w:p>
      <w:pPr>
        <w:pStyle w:val="Heading1"/>
      </w:pPr>
      <w:r>
        <w:rPr>
          <w:color w:val="5B6DE4"/>
          <w:sz w:val="28"/>
        </w:rPr>
        <w:t>一、过去 24 小时关键政策</w:t>
      </w:r>
    </w:p>
    <w:p/>
    <w:p>
      <w:pPr>
        <w:pStyle w:val="Heading1"/>
      </w:pPr>
      <w:r>
        <w:rPr>
          <w:color w:val="5B6DE4"/>
          <w:sz w:val="28"/>
        </w:rPr>
        <w:t>二、过去一个月主要政策动向</w:t>
      </w:r>
    </w:p>
    <w:p>
      <w:r>
        <w:rPr>
          <w:b/>
          <w:sz w:val="24"/>
        </w:rPr>
        <w:t>《网络数据安全风险评估办法》</w:t>
      </w:r>
    </w:p>
    <w:p>
      <w:r>
        <w:rPr>
          <w:color w:val="646464"/>
          <w:sz w:val="20"/>
        </w:rPr>
        <w:t>文　　号：国家网信办、工业和信息化部、公安部令第24号</w:t>
        <w:br/>
        <w:t>发文机关：国家互联网信息办公室、工业和信息化部、公安部</w:t>
        <w:br/>
        <w:t>发文日期：2026-08-20</w:t>
        <w:br/>
        <w:t>原文链接：https://www.gov.cn/gongbao/2026/issue_12946/202608/content_7079356.html</w:t>
      </w:r>
    </w:p>
    <w:p>
      <w:pPr>
        <w:ind w:left="240"/>
      </w:pPr>
      <w:r>
        <w:t>规范网络数据安全风险评估活动，自2026年8月20日起施行。</w:t>
      </w:r>
    </w:p>
    <w:p>
      <w:pPr>
        <w:spacing w:before="0" w:after="80"/>
        <w:pBdr>
          <w:bottom w:val="single" w:sz="4" w:space="1" w:color="DDDDDD"/>
        </w:pBdr>
      </w:pPr>
    </w:p>
    <w:p>
      <w:r>
        <w:rPr>
          <w:b/>
          <w:sz w:val="24"/>
        </w:rPr>
        <w:t>《促进数字化绿色化协同转型发展实施方案（2026-2030年）》</w:t>
      </w:r>
    </w:p>
    <w:p>
      <w:r>
        <w:rPr>
          <w:color w:val="646464"/>
          <w:sz w:val="20"/>
        </w:rPr>
        <w:t>文　　号：暂无</w:t>
        <w:br/>
        <w:t>发文机关：中央网络安全和信息化委员会办公室</w:t>
        <w:br/>
        <w:t>发文日期：2026-09-04</w:t>
        <w:br/>
        <w:t>原文链接：https://www.cac.gov.cn/wxzw/zcfg/zcwj/A09370306index_1.htm</w:t>
      </w:r>
    </w:p>
    <w:p>
      <w:pPr>
        <w:ind w:left="240"/>
      </w:pPr>
      <w:r>
        <w:t>部署数字化与绿色化协同转型五年任务，明确融合路径。</w:t>
      </w:r>
    </w:p>
    <w:p>
      <w:pPr>
        <w:spacing w:before="0" w:after="80"/>
        <w:pBdr>
          <w:bottom w:val="single" w:sz="4" w:space="1" w:color="DDDDDD"/>
        </w:pBdr>
      </w:pPr>
    </w:p>
    <w:p>
      <w:r>
        <w:rPr>
          <w:b/>
          <w:sz w:val="24"/>
        </w:rPr>
        <w:t>《中国数字乡村发展报告（2019—2025年）》</w:t>
      </w:r>
    </w:p>
    <w:p>
      <w:r>
        <w:rPr>
          <w:color w:val="646464"/>
          <w:sz w:val="20"/>
        </w:rPr>
        <w:t>文　　号：暂无</w:t>
        <w:br/>
        <w:t>发文机关：国家互联网信息办公室、农业农村部</w:t>
        <w:br/>
        <w:t>发文日期：2026-08-31</w:t>
        <w:br/>
        <w:t>原文链接：https://www.cac.gov.cn/wxzw/A0937index_1.htm</w:t>
      </w:r>
    </w:p>
    <w:p>
      <w:pPr>
        <w:ind w:left="240"/>
      </w:pPr>
      <w:r>
        <w:t>总结六年数字乡村建设成效，提出下一阶段发展重点。</w:t>
      </w:r>
    </w:p>
    <w:p>
      <w:pPr>
        <w:spacing w:before="0" w:after="80"/>
        <w:pBdr>
          <w:bottom w:val="single" w:sz="4" w:space="1" w:color="DDDDDD"/>
        </w:pBdr>
      </w:pPr>
    </w:p>
    <w:p>
      <w:r>
        <w:rPr>
          <w:b/>
          <w:sz w:val="24"/>
        </w:rPr>
        <w:t>《深化互联网协议第六版（IPv6）技术创新和融合应用实施方案（2026—2030年）》</w:t>
      </w:r>
    </w:p>
    <w:p>
      <w:r>
        <w:rPr>
          <w:color w:val="646464"/>
          <w:sz w:val="20"/>
        </w:rPr>
        <w:t>文　　号：暂无</w:t>
        <w:br/>
        <w:t>发文机关：中央网络安全和信息化委员会办公室</w:t>
        <w:br/>
        <w:t>发文日期：2026-07-21</w:t>
        <w:br/>
        <w:t>原文链接：https://www.cac.gov.cn/wxzw/zcfg/zcwj/A09370306index_1.htm</w:t>
      </w:r>
    </w:p>
    <w:p>
      <w:pPr>
        <w:ind w:left="240"/>
      </w:pPr>
      <w:r>
        <w:t>部署IPv6技术创新与融合应用五年方案，推动规模部署。</w:t>
      </w:r>
    </w:p>
    <w:p>
      <w:pPr>
        <w:spacing w:before="0" w:after="80"/>
        <w:pBdr>
          <w:bottom w:val="single" w:sz="4" w:space="1" w:color="DDDDDD"/>
        </w:pBdr>
      </w:pPr>
    </w:p>
    <w:p>
      <w:r>
        <w:rPr>
          <w:b/>
          <w:sz w:val="24"/>
        </w:rPr>
        <w:t>《关于推动互联网基础资源高质量发展的指导意见》</w:t>
      </w:r>
    </w:p>
    <w:p>
      <w:r>
        <w:rPr>
          <w:color w:val="646464"/>
          <w:sz w:val="20"/>
        </w:rPr>
        <w:t>文　　号：暂无</w:t>
        <w:br/>
        <w:t>发文机关：工业和信息化部、中央网信办、国家发展改革委、国家数据局</w:t>
        <w:br/>
        <w:t>发文日期：2026-07-01</w:t>
      </w:r>
    </w:p>
    <w:p>
      <w:pPr>
        <w:ind w:left="240"/>
      </w:pPr>
      <w:r>
        <w:t>四部门联合发文，部署互联网基础资源高质量发展任务。</w:t>
      </w:r>
    </w:p>
    <w:p>
      <w:pPr>
        <w:spacing w:before="0" w:after="80"/>
        <w:pBdr>
          <w:bottom w:val="single" w:sz="4" w:space="1" w:color="DDDDDD"/>
        </w:pBdr>
      </w:pPr>
    </w:p>
    <w:p/>
    <w:p>
      <w:pPr>
        <w:pStyle w:val="Heading1"/>
      </w:pPr>
      <w:r>
        <w:rPr>
          <w:color w:val="5B6DE4"/>
          <w:sz w:val="28"/>
        </w:rPr>
        <w:t>三、今年以来主要政策</w:t>
      </w:r>
    </w:p>
    <w:p/>
    <w:p>
      <w:pPr>
        <w:pStyle w:val="Heading1"/>
      </w:pPr>
      <w:r>
        <w:rPr>
          <w:color w:val="5B6DE4"/>
          <w:sz w:val="28"/>
        </w:rPr>
        <w:t>四、未来趋势判断</w:t>
      </w:r>
    </w:p>
    <w:p>
      <w:r>
        <w:rPr>
          <w:b/>
          <w:color w:val="5B6DE4"/>
        </w:rPr>
        <w:t xml:space="preserve">①  </w:t>
      </w:r>
      <w:r>
        <w:t>现象：国家网信办等三部门以第24号令公布《网络数据安全风险评估办法》，自2026年8月20日起施行，将数据安全风险评估从原则性要求转为可操作的定期评估制度。逻辑：这是《数据安全法》落地的重要配套，意在把“数据分类分级—风险评估—整改闭环”固化为企业合规义务，降低监管模糊地带。研判：预计金融、医疗、车联网等高敏感行业将率先迎来评估检查，第三方评估机构资质与评估标准统一将成为下一阶段监管重点，企业需提前建立数据映射与风险台账。</w:t>
      </w:r>
    </w:p>
    <w:p>
      <w:r>
        <w:rPr>
          <w:b/>
          <w:color w:val="5B6DE4"/>
        </w:rPr>
        <w:t xml:space="preserve">②  </w:t>
      </w:r>
      <w:r>
        <w:t>现象：中央网信办2026年9月发布《促进数字化绿色化协同转型发展实施方案（2026-2030年）》，将“双化协同”作为五年期制度安排。逻辑：算力扩张带来能耗压力，政策试图把数据中心能效、绿电消纳与数字化改造绑定，避免数字经济增长与“双碳”目标冲突。研判：未来算力枢纽审批可能附带PUE与绿电比例硬约束，西部地区“东数西算”节点将更强调可再生能源配套，企业选址需把能耗指标纳入前置评估。</w:t>
      </w:r>
    </w:p>
    <w:p>
      <w:r>
        <w:rPr>
          <w:b/>
          <w:color w:val="5B6DE4"/>
        </w:rPr>
        <w:t xml:space="preserve">③  </w:t>
      </w:r>
      <w:r>
        <w:t>现象：中央网信办2026年8月出台《促进网信企业高质量发展行动计划（2026-2030年）》，面向网信企业部署五年行动。逻辑：在平台经济整改告一段落后，政策重心从“规范”转向“发展”，意在扶持具有国际竞争力的网信企业，同时以合规能力作为高质量发展前提。研判：预计将出现针对网信企业的专项扶持与合规指引并行局面，数据跨境、算法备案等合规成本可能通过标准化服务降低，头部平台与专精特新企业将获差异化支持。</w:t>
      </w:r>
    </w:p>
    <w:p>
      <w:r>
        <w:rPr>
          <w:b/>
          <w:color w:val="5B6DE4"/>
        </w:rPr>
        <w:t xml:space="preserve">④  </w:t>
      </w:r>
      <w:r>
        <w:t>现象：工信部等四部门2026年7月联合印发《关于推动互联网基础资源高质量发展的指导意见》，覆盖域名、IP、AS等基础资源。逻辑：互联网基础资源是数字经济底座，政策意在提升自主可控水平与资源分配效率，配合IPv6规模部署形成协同。研判：基础资源管理可能进一步向国家数据局与工信部统筹集中，域名注册、IP分配等环节的合规审查趋严，中小企业需关注资源合规使用与备案要求变化。</w:t>
      </w:r>
    </w:p>
    <w:p>
      <w:r>
        <w:rPr>
          <w:b/>
          <w:color w:val="5B6DE4"/>
        </w:rPr>
        <w:t xml:space="preserve">⑤  </w:t>
      </w:r>
      <w:r>
        <w:t>现象：浙江省发改委2026年6月在提案答复中明确支持之江人工智能公共算力平台建设万卡级混合计算集群，以开放普惠方式提供算力。逻辑：地方层面正以公共算力平台为抓手，降低中小AI企业训练成本，避免算力资源被少数巨头垄断，同时带动本地AI产业集聚。研判：预计更多省份将跟进建设公共算力平台，算力券、普惠算力补贴等工具将普及，但需警惕重复建设与利用率不足问题，跨区域算力调度机制亟待建立。</w:t>
      </w:r>
    </w:p>
    <w:p>
      <w:r>
        <w:rPr>
          <w:b/>
          <w:color w:val="5B6DE4"/>
        </w:rPr>
        <w:t xml:space="preserve">⑥  </w:t>
      </w:r>
      <w:r>
        <w:t>现象：欧盟《人工智能法案》按风险分级监管AI系统，美国以行政令推动AI安全测试与标准，中国则以《生成式人工智能服务管理暂行办法》加备案制管理。逻辑：三方均重视AI安全，但路径不同——欧盟重立法分级，美国重行政与标准，中国重服务备案与内容安全。研判：中国可在AI标准国际化与跨境互认上寻求突破，企业出海需同时满足欧盟分级合规与美国安全测试要求，建议提前建立多法域合规映射，避免重复合规成本。</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