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生成日期：2026-08-17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原文链接：https://www.miit.gov.cn/search/zcwjk.html?websiteid=110000000000000&amp;tpl=14&amp;category=183</w:t>
      </w:r>
    </w:p>
    <w:p>
      <w:pPr>
        <w:ind w:left="240"/>
      </w:pPr>
      <w:r>
        <w:t>部署“十五五”工业绿色低碳发展，涉及数字化绿色化协同转型。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原文链接：https://www.miit.gov.cn/search/zcwjk.html?websiteid=110000000000000&amp;tpl=14&amp;category=183</w:t>
      </w:r>
    </w:p>
    <w:p>
      <w:pPr>
        <w:ind w:left="240"/>
      </w:pPr>
      <w:r>
        <w:t>部署“十五五”工业绿色低碳发展，涉及数字化绿色化协同转型。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规范汽车数据出境活动，明确安全评估与合规要求。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7月工信部印发《工业绿色低碳发展“十五五”规划》，将数字化绿色化协同转型列为重要方向。逻辑：在“双碳”目标与数字经济深度融合背景下，工业领域成为数字化减排的主战场，政策意图在于以数据要素驱动能效提升。研判：后续将配套出台重点行业数字化转型指南，工业互联网平台在碳管理中的应用将加速，相关标准体系有望年内落地。</w:t>
      </w:r>
    </w:p>
    <w:p>
      <w:r>
        <w:rPr>
          <w:b/>
          <w:color w:val="5B6DE4"/>
        </w:rPr>
        <w:t xml:space="preserve">②  </w:t>
      </w:r>
      <w:r>
        <w:t>现象：工信部等八部门发布《汽车数据出境安全指引（2026版）》，对智能网联汽车数据跨境流动作出更细致规定。逻辑：智能汽车采集的地理信息、生物特征等敏感数据量激增，数据出境风险突出，政策旨在平衡产业全球化与国家安全。研判：汽车行业数据合规成本将上升，跨国车企需调整数据存储架构，数据本地化处理或成主流选择。</w:t>
      </w:r>
    </w:p>
    <w:p>
      <w:r>
        <w:rPr>
          <w:b/>
          <w:color w:val="5B6DE4"/>
        </w:rPr>
        <w:t xml:space="preserve">③  </w:t>
      </w:r>
      <w:r>
        <w:t>现象：2026年8月，多源检索显示国家数据局、网信办等机构在算力、AI领域暂无新发文件，但此前政策持续发酵。逻辑：政策重心正从顶层设计转向落地执行，如“东数西算”工程进入算力调度优化阶段，AI监管框架趋于稳定。研判：下一阶段政策将聚焦算力资源市场化配置和AI应用场景开放，地方试点有望扩大。</w:t>
      </w:r>
    </w:p>
    <w:p>
      <w:r>
        <w:rPr>
          <w:b/>
          <w:color w:val="5B6DE4"/>
        </w:rPr>
        <w:t xml:space="preserve">④  </w:t>
      </w:r>
      <w:r>
        <w:t>现象：检索发现，2026年8月地方政府层面（辽宁、江苏、上海、广东、浙江）未见重大数字政策发布，但省级数据局动作频繁。逻辑：地方政策多承接国家规划，在数据要素市场化配置改革中先行先试，当前处于政策消化期。研判：三季度末至四季度，地方将密集出台数据资产入表、公共数据授权运营等实施细则，形成区域竞争格局。</w:t>
      </w:r>
    </w:p>
    <w:p>
      <w:r>
        <w:rPr>
          <w:b/>
          <w:color w:val="5B6DE4"/>
        </w:rPr>
        <w:t xml:space="preserve">⑤  </w:t>
      </w:r>
      <w:r>
        <w:t>现象：国际方面，欧盟AI法案进入实施准备期，日本数字厅推进AI监管框架，美国行政令聚焦AI安全评估，但2026年8月均无重大新规。逻辑：全球AI治理进入“规则竞赛”阶段，各国均试图在创新与安全间寻求平衡，监管工具趋于精细化。研判：中国需关注欧盟AI法案的域外效力，在AI出口产品合规上提前布局，同时借鉴美国安全评估框架完善自身制度。</w:t>
      </w:r>
    </w:p>
    <w:p>
      <w:r>
        <w:rPr>
          <w:b/>
          <w:color w:val="5B6DE4"/>
        </w:rPr>
        <w:t xml:space="preserve">⑥  </w:t>
      </w:r>
      <w:r>
        <w:t>现象：国际比较看，中国以“数据要素”为核心驱动数字经济发展，强调数据作为生产要素参与分配；欧盟以“数据治理”为核心，通过GDPR和《数据法案》强化个人权利与数据共享；美国则侧重“数据创新”，通过行政令推动联邦数据开放与AI研发。逻辑：三种路径反映不同制度传统与产业战略，中国重效率、欧盟重权利、美国重创新。研判：未来全球数据治理将呈现“制度竞争+技术互操作”格局，中国在数据跨境流动规则上需加强与欧盟、东盟的对接，以降低企业合规成本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