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生成日期：2026-07-17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《人工智能拟人化互动服务管理暂行办法正式施行》</w:t>
      </w:r>
    </w:p>
    <w:p>
      <w:r>
        <w:rPr>
          <w:color w:val="646464"/>
          <w:sz w:val="20"/>
        </w:rPr>
        <w:t>文　　号：国家网信办等五部门令第21号</w:t>
        <w:br/>
        <w:t>发文机关：国家互联网信息办公室、国家发展改革委、工业和信息化部、公安部、市场监管总局</w:t>
        <w:br/>
        <w:t>发文日期：2026-07-15</w:t>
        <w:br/>
        <w:t>原文链接：https://www.gov.cn/gongbao/2026/issue_12806/202606/content_7072472.html</w:t>
      </w:r>
    </w:p>
    <w:p>
      <w:pPr>
        <w:ind w:left="240"/>
      </w:pPr>
      <w:r>
        <w:t>规范AI拟人化互动服务，明确服务提供者责任与用户权益保护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《高质量数据集建设现场会在广州召开》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发文日期：2026-07-08</w:t>
        <w:br/>
        <w:t>原文链接：https://www.ndrc.gov.cn/fzggw/wld/llh/zyhd/index.html</w:t>
      </w:r>
    </w:p>
    <w:p>
      <w:pPr>
        <w:ind w:left="240"/>
      </w:pPr>
      <w:r>
        <w:t>部署高质量数据集建设，推动数据要素价值释放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《关于推动工业互联网高质量发展的实施意见》</w:t>
      </w:r>
    </w:p>
    <w:p>
      <w:r>
        <w:rPr>
          <w:color w:val="646464"/>
          <w:sz w:val="20"/>
        </w:rPr>
        <w:t>文　　号：工信部联信管〔2026〕152号</w:t>
        <w:br/>
        <w:t>发文机关：工业和信息化部等八部门</w:t>
        <w:br/>
        <w:t>发文日期：2026-06-30</w:t>
        <w:br/>
        <w:t>原文链接：https://www.miit.gov.cn/zwgk/zcwj/</w:t>
      </w:r>
    </w:p>
    <w:p>
      <w:pPr>
        <w:ind w:left="240"/>
      </w:pPr>
      <w:r>
        <w:t>八部门联合发文，推动工业互联网平台建设与产业融合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《网络安全等级保护数据安全基本要求正式实施》</w:t>
      </w:r>
    </w:p>
    <w:p>
      <w:r>
        <w:rPr>
          <w:color w:val="646464"/>
          <w:sz w:val="20"/>
        </w:rPr>
        <w:t>文　　号：GA/T 2380—2026</w:t>
        <w:br/>
        <w:t>发文机关：公安部</w:t>
        <w:br/>
        <w:t>发文日期：2026-06-01</w:t>
        <w:br/>
        <w:t>原文链接：https://mp.weixin.qq.com/s?__biz=MzA3MzM5MDkzMQ==&amp;mid=2650531108&amp;idx=4&amp;sn=a212c82513e3d08160a10bda8f8d4d85&amp;chksm=869818990e2a57f80ddf0eafc14eb1a6a8d5cb2ec5467a315984d05f9da7f71aadc134d621e1&amp;scene=27</w:t>
      </w:r>
    </w:p>
    <w:p>
      <w:pPr>
        <w:ind w:left="240"/>
      </w:pPr>
      <w:r>
        <w:t>等级保护制度中数据安全要求标准化，强化数据安全基线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《浙江省支持之江人工智能公共算力开放创新平台建设》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发文日期：2026-06-25</w:t>
      </w:r>
    </w:p>
    <w:p>
      <w:pPr>
        <w:ind w:left="240"/>
      </w:pPr>
      <w:r>
        <w:t>支持万卡级智能算力集群建设，提供普惠算力服务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《全国信息化和工业化融合管理标准化技术委员会简报（2026年6月）》</w:t>
      </w:r>
    </w:p>
    <w:p>
      <w:r>
        <w:rPr>
          <w:color w:val="646464"/>
          <w:sz w:val="20"/>
        </w:rPr>
        <w:t>文　　号：暂无</w:t>
        <w:br/>
        <w:t>发文机关：国家工业信息安全发展研究中心</w:t>
        <w:br/>
        <w:t>发文日期：2026-06-26</w:t>
      </w:r>
    </w:p>
    <w:p>
      <w:pPr>
        <w:ind w:left="240"/>
      </w:pPr>
      <w:r>
        <w:t>强调工业数据开发利用是推动AI与制造业融合的关键抓手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号：工信部联信管〔2026〕159号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推动互联网基础资源（IP地址、域名等）高质量发展，强化安全保障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《工业互联网和人工智能融合赋能行动方案》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发文日期：2026-01-06</w:t>
      </w:r>
    </w:p>
    <w:p>
      <w:pPr>
        <w:ind w:left="240"/>
      </w:pPr>
      <w:r>
        <w:t>推动工业互联网与AI深度融合，赋能制造业转型升级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《国家网络安全事件报告管理办法》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发文日期：2026-01-23</w:t>
        <w:br/>
        <w:t>原文链接：https://www.cac.gov.cn/wxzw/zcfg/gfxwj/A09370305index_1.htm</w:t>
      </w:r>
    </w:p>
    <w:p>
      <w:pPr>
        <w:ind w:left="240"/>
      </w:pPr>
      <w:r>
        <w:t>规范网络安全事件报告流程，提升应急响应效率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《深圳市2026年企业技术改造传统优势产业数字化转型项目申报》</w:t>
      </w:r>
    </w:p>
    <w:p>
      <w:r>
        <w:rPr>
          <w:color w:val="646464"/>
          <w:sz w:val="20"/>
        </w:rPr>
        <w:t>文　　号：暂无</w:t>
        <w:br/>
        <w:t>发文机关：深圳市工业和信息化局</w:t>
        <w:br/>
        <w:t>发文日期：2026-02-09</w:t>
      </w:r>
    </w:p>
    <w:p>
      <w:pPr>
        <w:ind w:left="240"/>
      </w:pPr>
      <w:r>
        <w:t>支持传统优势产业数字化转型，提供专项资金扶持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AI拟人化服务进入强监管时代。《人工智能拟人化互动服务管理暂行办法》于7月15日正式施行，标志着中国在全球率先对AI拟人化交互（如情感陪伴、虚拟角色）建立专项许可与内容审核制度。其背后逻辑是防范深度伪造、诱导沉迷与数据滥用风险，同时为产业划定合规边界。下一步，企业需在算法备案、用户年龄验证、交互记录留存等方面投入合规成本，中小开发者可能面临市场出清压力。</w:t>
      </w:r>
    </w:p>
    <w:p>
      <w:r>
        <w:rPr>
          <w:b/>
          <w:color w:val="5B6DE4"/>
        </w:rPr>
        <w:t xml:space="preserve">②  </w:t>
      </w:r>
      <w:r>
        <w:t>趋势2：互联网基础资源治理从“可用”转向“高质量”。四部门联合发布的《指导意见》聚焦IP地址、域名、根服务器等关键资源，提出提升解析安全、推进IPv6规模部署、强化应急备份等要求。此举旨在应对地缘政治风险下域名系统（DNS）的脆弱性，并支撑工业互联网、物联网的海量连接需求。预计后续将出台配套的监测评估细则，推动基础资源运营方建立冗余备份体系。</w:t>
      </w:r>
    </w:p>
    <w:p>
      <w:r>
        <w:rPr>
          <w:b/>
          <w:color w:val="5B6DE4"/>
        </w:rPr>
        <w:t xml:space="preserve">③  </w:t>
      </w:r>
      <w:r>
        <w:t>趋势3：工业数据成为AI赋能制造业的核心突破口。工信部在重庆召开的高质量行业数据集建设座谈会，以及八部门联合发布的工业互联网高质量发展意见，均将工业数据标注、治理与开放列为重点。政策意图在于破解工业AI“有模型无数据”的困境，通过政府引导建设行业级数据集，降低中小企业应用门槛。未来可能催生一批专业数据服务商，但数据确权与跨企业共享的激励机制仍是待解难题。</w:t>
      </w:r>
    </w:p>
    <w:p>
      <w:r>
        <w:rPr>
          <w:b/>
          <w:color w:val="5B6DE4"/>
        </w:rPr>
        <w:t xml:space="preserve">④  </w:t>
      </w:r>
      <w:r>
        <w:t>趋势4：地方算力竞赛从“建中心”转向“用中心”。浙江、天津、贵州等地纷纷出台算力产业方案，但政策焦点已从单纯扩大机架规模转向提升算力利用率与普惠服务。例如浙江明确支持万卡级混合计算集群，贵州强调“算力网”与“数据训练基地”联动。这表明国家“东数西算”工程进入深化期，东部侧重推理与模型训练，西部侧重存储与预处理的分工格局加速形成。下一步需警惕部分中西部园区出现算力闲置与同质化竞争。</w:t>
      </w:r>
    </w:p>
    <w:p>
      <w:r>
        <w:rPr>
          <w:b/>
          <w:color w:val="5B6DE4"/>
        </w:rPr>
        <w:t xml:space="preserve">⑤  </w:t>
      </w:r>
      <w:r>
        <w:t>趋势5：数据安全合规从“原则性要求”走向“技术标准落地”。公安部发布的《等级保护数据安全基本要求》（GA/T 2380—2026）于6月1日实施，将数据分类分级、访问控制、加密审计等要求嵌入等保2.0框架。这标志着数据安全监管从宏观法律（如《数据安全法》）向可执行的技术规范下沉。企业等保测评中数据安全项的权重将显著提升，数据安全产品（如动态脱敏、数据水印）采购需求预计快速增长。</w:t>
      </w:r>
    </w:p>
    <w:p>
      <w:r>
        <w:rPr>
          <w:b/>
          <w:color w:val="5B6DE4"/>
        </w:rPr>
        <w:t xml:space="preserve">⑥  </w:t>
      </w:r>
      <w:r>
        <w:t>趋势6（国际比较）：中国AI监管侧重“场景化事前许可”，与欧盟的“风险分级”和美国的“自愿承诺”路径形成对照。中国《人工智能拟人化互动服务管理暂行办法》对特定应用场景实施许可制，类似欧盟《AI法案》对高风险系统的要求，但范围更聚焦、执行更前置。美国则仍以行政令和行业自律为主，缺乏统一立法。中国模式的优势在于快速遏制风险，但可能抑制创新灵活性；欧盟的合规成本较高，但规则清晰；美国灵活性最强，但监管碎片化。三国路径差异将影响全球AI产业链分工：中国在社交与消费级AI应用上规则最严，欧盟在医疗、金融等高风险领域标准最高，美国在基础模型研发上监管最宽松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