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生成日期：2026-10-25　　数据 · 算力 · 信息化</w:t>
      </w:r>
    </w:p>
    <w:p/>
    <w:p>
      <w:pPr>
        <w:pStyle w:val="Heading1"/>
      </w:pPr>
      <w:r>
        <w:rPr>
          <w:color w:val="5B6DE4"/>
          <w:sz w:val="28"/>
        </w:rPr>
        <w:t>一、过去 24 小时关键政策</w:t>
      </w:r>
    </w:p>
    <w:p>
      <w:r>
        <w:rPr>
          <w:b/>
          <w:sz w:val="24"/>
        </w:rPr>
        <w:t>《江苏省支持人工智能创新发展有关实施方案》</w:t>
      </w:r>
    </w:p>
    <w:p>
      <w:r>
        <w:rPr>
          <w:color w:val="646464"/>
          <w:sz w:val="20"/>
        </w:rPr>
        <w:t>文　　号：暂无</w:t>
        <w:br/>
        <w:t>发文机关：江苏省发展改革委等五部门</w:t>
        <w:br/>
        <w:t>发文日期：2026-10-13</w:t>
        <w:br/>
        <w:t>原文链接：https://jszwb.jiangsu.gov.cn/art/2026/10/13/art_92152_11841252.html</w:t>
      </w:r>
    </w:p>
    <w:p>
      <w:pPr>
        <w:ind w:left="240"/>
      </w:pPr>
      <w:r>
        <w:t>依托省一体化算力监测调度平台发放词元券，支持智能算力服务与公共算力中心建设。</w:t>
      </w:r>
    </w:p>
    <w:p>
      <w:pPr>
        <w:spacing w:before="0" w:after="80"/>
        <w:pBdr>
          <w:bottom w:val="single" w:sz="4" w:space="1" w:color="DDDDDD"/>
        </w:pBdr>
      </w:pPr>
    </w:p>
    <w:p/>
    <w:p>
      <w:pPr>
        <w:pStyle w:val="Heading1"/>
      </w:pPr>
      <w:r>
        <w:rPr>
          <w:color w:val="5B6DE4"/>
          <w:sz w:val="28"/>
        </w:rPr>
        <w:t>二、过去一个月主要政策动向</w:t>
      </w:r>
    </w:p>
    <w:p>
      <w:r>
        <w:rPr>
          <w:b/>
          <w:sz w:val="24"/>
        </w:rPr>
        <w:t>《江苏省支持人工智能创新发展有关实施方案》</w:t>
      </w:r>
    </w:p>
    <w:p>
      <w:r>
        <w:rPr>
          <w:color w:val="646464"/>
          <w:sz w:val="20"/>
        </w:rPr>
        <w:t>文　　号：暂无</w:t>
        <w:br/>
        <w:t>发文机关：江苏省发展改革委等五部门</w:t>
        <w:br/>
        <w:t>发文日期：2026-10-13</w:t>
        <w:br/>
        <w:t>原文链接：https://jszwb.jiangsu.gov.cn/art/2026/10/13/art_92152_11841252.html</w:t>
      </w:r>
    </w:p>
    <w:p>
      <w:pPr>
        <w:ind w:left="240"/>
      </w:pPr>
      <w:r>
        <w:t>依托省一体化算力监测调度平台发放词元券，支持智能算力服务与公共算力中心建设。</w:t>
      </w:r>
    </w:p>
    <w:p>
      <w:pPr>
        <w:spacing w:before="0" w:after="80"/>
        <w:pBdr>
          <w:bottom w:val="single" w:sz="4" w:space="1" w:color="DDDDDD"/>
        </w:pBdr>
      </w:pPr>
    </w:p>
    <w:p>
      <w:r>
        <w:rPr>
          <w:b/>
          <w:sz w:val="24"/>
        </w:rPr>
        <w:t>《天津市算力产业发展实施方案（2024—2026年）》</w:t>
      </w:r>
    </w:p>
    <w:p>
      <w:r>
        <w:rPr>
          <w:color w:val="646464"/>
          <w:sz w:val="20"/>
        </w:rPr>
        <w:t>文　　号：暂无</w:t>
        <w:br/>
        <w:t>发文机关：天津市人民政府办公厅</w:t>
        <w:br/>
        <w:t>发文日期：2024-07-22</w:t>
        <w:br/>
        <w:t>原文链接：https://gyxxh.tj.gov.cn/ZWGK4147/ZCWJ6355/sjwj/202407/t20240722_6681036.html</w:t>
      </w:r>
    </w:p>
    <w:p>
      <w:pPr>
        <w:ind w:left="240"/>
      </w:pPr>
      <w:r>
        <w:t>统筹通用、智能、超级算力一体化布局，打造京津冀算力产业高地。</w:t>
      </w:r>
    </w:p>
    <w:p>
      <w:pPr>
        <w:spacing w:before="0" w:after="80"/>
        <w:pBdr>
          <w:bottom w:val="single" w:sz="4" w:space="1" w:color="DDDDDD"/>
        </w:pBdr>
      </w:pPr>
    </w:p>
    <w:p>
      <w:r>
        <w:rPr>
          <w:b/>
          <w:sz w:val="24"/>
        </w:rPr>
        <w:t>《关于支持之江人工智能公共算力开放创新平台加快混合万卡计算集群建设的答复》</w:t>
      </w:r>
    </w:p>
    <w:p>
      <w:r>
        <w:rPr>
          <w:color w:val="646464"/>
          <w:sz w:val="20"/>
        </w:rPr>
        <w:t>文　　号：暂无</w:t>
        <w:br/>
        <w:t>发文机关：浙江省发展和改革委员会</w:t>
        <w:br/>
        <w:t>发文日期：2026-06-25</w:t>
      </w:r>
    </w:p>
    <w:p>
      <w:pPr>
        <w:ind w:left="240"/>
      </w:pPr>
      <w:r>
        <w:t>支持建设万卡规模分布式计算系统，以开放普惠方式提供人工智能算力。</w:t>
      </w:r>
    </w:p>
    <w:p>
      <w:pPr>
        <w:spacing w:before="0" w:after="80"/>
        <w:pBdr>
          <w:bottom w:val="single" w:sz="4" w:space="1" w:color="DDDDDD"/>
        </w:pBdr>
      </w:pPr>
    </w:p>
    <w:p>
      <w:r>
        <w:rPr>
          <w:b/>
          <w:sz w:val="24"/>
        </w:rPr>
        <w:t>《以法治筑牢人工智能安全防线》</w:t>
      </w:r>
    </w:p>
    <w:p>
      <w:r>
        <w:rPr>
          <w:color w:val="646464"/>
          <w:sz w:val="20"/>
        </w:rPr>
        <w:t>文　　号：暂无</w:t>
        <w:br/>
        <w:t>发文机关：天津长安网</w:t>
        <w:br/>
        <w:t>发文日期：2025-11-10</w:t>
      </w:r>
    </w:p>
    <w:p>
      <w:pPr>
        <w:ind w:left="240"/>
      </w:pPr>
      <w:r>
        <w:t>强调人工智能法治需融汇伦理规范与技术规则，突出算法、数据和算力三要素。</w:t>
      </w:r>
    </w:p>
    <w:p>
      <w:pPr>
        <w:spacing w:before="0" w:after="80"/>
        <w:pBdr>
          <w:bottom w:val="single" w:sz="4" w:space="1" w:color="DDDDDD"/>
        </w:pBdr>
      </w:pPr>
    </w:p>
    <w:p>
      <w:r>
        <w:rPr>
          <w:b/>
          <w:sz w:val="24"/>
        </w:rPr>
        <w:t>《2026年广西数据管理和政务服务工作要点》</w:t>
      </w:r>
    </w:p>
    <w:p>
      <w:r>
        <w:rPr>
          <w:color w:val="646464"/>
          <w:sz w:val="20"/>
        </w:rPr>
        <w:t>文　　号：暂无</w:t>
        <w:br/>
        <w:t>发文机关：广西壮族自治区大数据发展局</w:t>
        <w:br/>
        <w:t>发文日期：2026-03-26</w:t>
      </w:r>
    </w:p>
    <w:p>
      <w:pPr>
        <w:ind w:left="240"/>
      </w:pPr>
      <w:r>
        <w:t>部署“人工智能+”行动，推进数据管理和政务服务改革。</w:t>
      </w:r>
    </w:p>
    <w:p>
      <w:pPr>
        <w:spacing w:before="0" w:after="80"/>
        <w:pBdr>
          <w:bottom w:val="single" w:sz="4" w:space="1" w:color="DDDDDD"/>
        </w:pBdr>
      </w:pPr>
    </w:p>
    <w:p>
      <w:r>
        <w:rPr>
          <w:b/>
          <w:sz w:val="24"/>
        </w:rPr>
        <w:t>《山东省人工智能+制造行动政策解读》</w:t>
      </w:r>
    </w:p>
    <w:p>
      <w:r>
        <w:rPr>
          <w:color w:val="646464"/>
          <w:sz w:val="20"/>
        </w:rPr>
        <w:t>文　　号：暂无</w:t>
        <w:br/>
        <w:t>发文机关：山东省人民政府</w:t>
        <w:br/>
        <w:t>发文日期：2026-06-09</w:t>
        <w:br/>
        <w:t>原文链接：http://www.shandong.gov.cn/jpaas-jpolicy-web-server/front/info/explain?iid=76102bbb2fa146f1ac00b5a53067db49</w:t>
      </w:r>
    </w:p>
    <w:p>
      <w:pPr>
        <w:ind w:left="240"/>
      </w:pPr>
      <w:r>
        <w:t>解读国家及省级人工智能产业政策，推进智能算力与工业互联网融合。</w:t>
      </w:r>
    </w:p>
    <w:p>
      <w:pPr>
        <w:spacing w:before="0" w:after="80"/>
        <w:pBdr>
          <w:bottom w:val="single" w:sz="4" w:space="1" w:color="DDDDDD"/>
        </w:pBdr>
      </w:pPr>
    </w:p>
    <w:p/>
    <w:p>
      <w:pPr>
        <w:pStyle w:val="Heading1"/>
      </w:pPr>
      <w:r>
        <w:rPr>
          <w:color w:val="5B6DE4"/>
          <w:sz w:val="28"/>
        </w:rPr>
        <w:t>三、今年以来主要政策</w:t>
      </w:r>
    </w:p>
    <w:p>
      <w:r>
        <w:rPr>
          <w:b/>
          <w:sz w:val="24"/>
        </w:rPr>
        <w:t>《关于支持之江人工智能公共算力开放创新平台加快混合万卡计算集群建设的答复》</w:t>
      </w:r>
    </w:p>
    <w:p>
      <w:r>
        <w:rPr>
          <w:color w:val="646464"/>
          <w:sz w:val="20"/>
        </w:rPr>
        <w:t>文　　号：暂无</w:t>
        <w:br/>
        <w:t>发文机关：浙江省发展和改革委员会</w:t>
        <w:br/>
        <w:t>发文日期：2026-06-25</w:t>
      </w:r>
    </w:p>
    <w:p>
      <w:pPr>
        <w:ind w:left="240"/>
      </w:pPr>
      <w:r>
        <w:t>支持建设万卡规模分布式计算系统，以开放普惠方式提供人工智能算力。</w:t>
      </w:r>
    </w:p>
    <w:p>
      <w:pPr>
        <w:spacing w:before="0" w:after="80"/>
        <w:pBdr>
          <w:bottom w:val="single" w:sz="4" w:space="1" w:color="DDDDDD"/>
        </w:pBdr>
      </w:pPr>
    </w:p>
    <w:p>
      <w:r>
        <w:rPr>
          <w:b/>
          <w:sz w:val="24"/>
        </w:rPr>
        <w:t>《2026年广西数据管理和政务服务工作要点》</w:t>
      </w:r>
    </w:p>
    <w:p>
      <w:r>
        <w:rPr>
          <w:color w:val="646464"/>
          <w:sz w:val="20"/>
        </w:rPr>
        <w:t>文　　号：暂无</w:t>
        <w:br/>
        <w:t>发文机关：广西壮族自治区大数据发展局</w:t>
        <w:br/>
        <w:t>发文日期：2026-03-26</w:t>
      </w:r>
    </w:p>
    <w:p>
      <w:pPr>
        <w:ind w:left="240"/>
      </w:pPr>
      <w:r>
        <w:t>部署“人工智能+”行动，推进数据管理和政务服务改革。</w:t>
      </w:r>
    </w:p>
    <w:p>
      <w:pPr>
        <w:spacing w:before="0" w:after="80"/>
        <w:pBdr>
          <w:bottom w:val="single" w:sz="4" w:space="1" w:color="DDDDDD"/>
        </w:pBdr>
      </w:pPr>
    </w:p>
    <w:p>
      <w:r>
        <w:rPr>
          <w:b/>
          <w:sz w:val="24"/>
        </w:rPr>
        <w:t>《山东省人工智能+制造行动政策解读》</w:t>
      </w:r>
    </w:p>
    <w:p>
      <w:r>
        <w:rPr>
          <w:color w:val="646464"/>
          <w:sz w:val="20"/>
        </w:rPr>
        <w:t>文　　号：暂无</w:t>
        <w:br/>
        <w:t>发文机关：山东省人民政府</w:t>
        <w:br/>
        <w:t>发文日期：2026-06-09</w:t>
        <w:br/>
        <w:t>原文链接：http://www.shandong.gov.cn/jpaas-jpolicy-web-server/front/info/explain?iid=76102bbb2fa146f1ac00b5a53067db49</w:t>
      </w:r>
    </w:p>
    <w:p>
      <w:pPr>
        <w:ind w:left="240"/>
      </w:pPr>
      <w:r>
        <w:t>解读国家及省级人工智能产业政策，推进智能算力与工业互联网融合。</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江苏省数据局10月13日印发《江苏省支持人工智能创新发展有关实施方案》，首次以“词元券”形式对智能算力使用进行补贴，并依托省一体化算力监测调度平台统一管理算力中心。逻辑：这标志着地方算力政策从“建算力”转向“用算力”，通过需求侧补贴降低中小企业的算力使用门槛，同时以平台化调度避免重复建设。研判：预计浙江、广东等省将跟进类似“算力券”机制，但需警惕补贴退坡后的市场自生能力，以及跨省算力调度中的结算与安全责任划分问题。</w:t>
      </w:r>
    </w:p>
    <w:p>
      <w:r>
        <w:rPr>
          <w:b/>
          <w:color w:val="5B6DE4"/>
        </w:rPr>
        <w:t xml:space="preserve">②  </w:t>
      </w:r>
      <w:r>
        <w:t>现象：浙江省发改委6月答复政协提案，明确支持之江人工智能公共算力开放创新平台建设混合万卡计算集群，面向大模型训练提供高效能分布式计算系统。逻辑：万卡集群是训练千亿参数以上大模型的刚性基础设施，浙江以公共平台形式介入，意在降低民营企业的算力门槛，同时将算力资源集中于少数高效节点。研判：万卡集群的能耗与电网配套将成为落地瓶颈，后续需关注绿电交易与算力枢纽的协同政策，以及公共平台运营的可持续性。</w:t>
      </w:r>
    </w:p>
    <w:p>
      <w:r>
        <w:rPr>
          <w:b/>
          <w:color w:val="5B6DE4"/>
        </w:rPr>
        <w:t xml:space="preserve">③  </w:t>
      </w:r>
      <w:r>
        <w:t>现象：天津市2024年发布的算力产业实施方案（2024—2026年）进入收官之年，其统筹通用、智能、超级算力一体化布局的思路正在被多地借鉴。逻辑：天津作为京津冀算力枢纽节点，其“算网协同、普惠易用”的定位强调与北京形成互补，避免同质竞争。研判：2026年底方案到期后，天津大概率会推出升级版，重点可能转向算力与数据、算法的一体化应用，以及绿色算力的占比要求。</w:t>
      </w:r>
    </w:p>
    <w:p>
      <w:r>
        <w:rPr>
          <w:b/>
          <w:color w:val="5B6DE4"/>
        </w:rPr>
        <w:t xml:space="preserve">④  </w:t>
      </w:r>
      <w:r>
        <w:t>现象：山东省在政策解读中明确将“人工智能+制造”作为工业转型升级的核心抓手，推动智能算力与工业互联网在制造业场景中融合落地。逻辑：山东作为制造业大省，其政策逻辑是以场景换产业，通过开放制造场景吸引AI企业落地，同时提升本地工业互联网平台的智能化水平。研判：需关注制造场景中数据安全与工艺秘密保护的合规边界，以及中小企业数字化改造的投入回报周期问题。</w:t>
      </w:r>
    </w:p>
    <w:p>
      <w:r>
        <w:rPr>
          <w:b/>
          <w:color w:val="5B6DE4"/>
        </w:rPr>
        <w:t xml:space="preserve">⑤  </w:t>
      </w:r>
      <w:r>
        <w:t>现象：广西大数据发展局3月印发的2026年工作要点，将“人工智能+”行动与数据管理、政务服务改革捆绑推进，体现西部省份以政务数据开放带动AI应用的路径。逻辑：广西算力资源有限，选择以政务场景为切口，通过数据治理和共享为AI应用提供高质量数据供给，是一种务实的差异化策略。研判：西部省份在算力竞赛中难以拼规模，未来政策重心应放在数据标注产业培育和垂直场景应用上，避免盲目上马算力中心。</w:t>
      </w:r>
    </w:p>
    <w:p>
      <w:r>
        <w:rPr>
          <w:b/>
          <w:color w:val="5B6DE4"/>
        </w:rPr>
        <w:t xml:space="preserve">⑥  </w:t>
      </w:r>
      <w:r>
        <w:t>现象：国际比较看，欧盟AI法案已进入分阶段实施期，强调风险分级与合规前置；美国则延续以行政令和NIST框架为主的柔性治理，侧重创新优先；日本通过数字厅推动AI社会化应用与数据流通并重。中国地方政策如江苏“词元券”、浙江万卡集群，更侧重算力基础设施的公共供给与产业扶持。异同：中国强在算力普惠与场景开放，欧美强在合规框架与权利保护。启示：中国在推进算力补贴和公共平台建设时，应同步嵌入数据安全与算法审计要求，避免“重建设轻治理”，并借鉴欧盟风险分级思路对公共算力平台上的模型训练实施分类管理。</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