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生成日期：2026-10-16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部署数字乡村基础设施、数据要素与数字治理，推进城乡数字化协同发展。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《专家解读：加速数字化绿色化协同转型发展》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发文日期：2026-09-04</w:t>
        <w:br/>
        <w:t>原文链接：https://www.cac.gov.cn/wxzw/zcfg/A093703index_1.htm</w:t>
      </w:r>
    </w:p>
    <w:p>
      <w:pPr>
        <w:ind w:left="240"/>
      </w:pPr>
      <w:r>
        <w:t>阐释数字化与绿色化协同转型路径，强调算力能效与数据中心绿色化。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《2026年个人信息保护系列专项行动阶段性成效》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发文日期：2026-08-20</w:t>
        <w:br/>
        <w:t>原文链接：https://www.cac.gov.cn/wxzw/sjzl/A093708index_1.htm</w:t>
      </w:r>
    </w:p>
    <w:p>
      <w:pPr>
        <w:ind w:left="240"/>
      </w:pPr>
      <w:r>
        <w:t>通报专项行动阶段性成果，曝光违规App并推动整改，强化震慑效应。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《个人信息保护政策法规问答（2026年8月）》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发文日期：2026-08-19</w:t>
        <w:br/>
        <w:t>原文链接：https://www.cac.gov.cn/wxzw/sjzl/A093708index_1.htm</w:t>
      </w:r>
    </w:p>
    <w:p>
      <w:pPr>
        <w:ind w:left="240"/>
      </w:pPr>
      <w:r>
        <w:t>针对人脸识别、算法推荐等热点问题给出合规指引与监管口径。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</w:r>
    </w:p>
    <w:p>
      <w:pPr>
        <w:ind w:left="240"/>
      </w:pPr>
      <w:r>
        <w:t>提出优化IPv6、域名、标识等互联网基础资源供给，强化数据与算力底座。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发文日期：2026-08-12</w:t>
        <w:br/>
        <w:t>原文链接：https://www.cac.gov.cn/wxzw/sjzl/A093708index_1.htm</w:t>
      </w:r>
    </w:p>
    <w:p>
      <w:pPr>
        <w:ind w:left="240"/>
      </w:pPr>
      <w:r>
        <w:t>拟对大型平台设定更严格个人信息保护义务，涵盖合规审计与跨境规则。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《汽车数据出境安全指引（2026版）》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发文日期：2026-02-03</w:t>
      </w:r>
    </w:p>
    <w:p>
      <w:pPr>
        <w:ind w:left="240"/>
      </w:pPr>
      <w:r>
        <w:t>明确汽车数据处理者出境安全评估、合同与认证要求，规范车联网数据流动。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《2026年个人信息保护系列专项行动》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发文日期：2026-08-20</w:t>
        <w:br/>
        <w:t>原文链接：https://www.cac.gov.cn/wxzw/sjzl/A093708index_1.htm</w:t>
      </w:r>
    </w:p>
    <w:p>
      <w:pPr>
        <w:ind w:left="240"/>
      </w:pPr>
      <w:r>
        <w:t>聚焦App、SDK、人脸识别等场景，集中整治违规收集使用个人信息行为。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《数据出境安全管理政策法规问答（2026年7月）》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发文日期：2026-07-24</w:t>
        <w:br/>
        <w:t>原文链接：https://www.cac.gov.cn/wxzw/sjzl/A093708index_1.htm</w:t>
      </w:r>
    </w:p>
    <w:p>
      <w:pPr>
        <w:ind w:left="240"/>
      </w:pPr>
      <w:r>
        <w:t>以问答形式细化数据出境安全评估、标准合同与认证适用口径。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《互联网军事信息传播管理办法》</w:t>
      </w:r>
    </w:p>
    <w:p>
      <w:r>
        <w:rPr>
          <w:color w:val="646464"/>
          <w:sz w:val="20"/>
        </w:rPr>
        <w:t>文　　号：暂无</w:t>
        <w:br/>
        <w:t>发文机关：国家互联网信息办公室等</w:t>
        <w:br/>
        <w:t>发文日期：2025-02-08</w:t>
        <w:br/>
        <w:t>原文链接：https://cagd.gov.cn/c/a/28/</w:t>
      </w:r>
    </w:p>
    <w:p>
      <w:pPr>
        <w:ind w:left="240"/>
      </w:pPr>
      <w:r>
        <w:t>规范互联网军事信息传播秩序，明确平台审核与内容管理责任。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《关于进一步规范移动智能终端应用软件预置行为的通告》</w:t>
      </w:r>
    </w:p>
    <w:p>
      <w:r>
        <w:rPr>
          <w:color w:val="646464"/>
          <w:sz w:val="20"/>
        </w:rPr>
        <w:t>文　　号：暂无</w:t>
        <w:br/>
        <w:t>发文机关：工业和信息化部、国家互联网信息办公室</w:t>
        <w:br/>
        <w:t>发文日期：2022-12-15</w:t>
        <w:br/>
        <w:t>原文链接：https://cagd.gov.cn/c/a/28/</w:t>
      </w:r>
    </w:p>
    <w:p>
      <w:pPr>
        <w:ind w:left="240"/>
      </w:pPr>
      <w:r>
        <w:t>要求终端预置应用可卸载，保障用户选择权，遏制预装乱象。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《汽车数据出境安全指引（2026版）》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发文日期：2026-02-03</w:t>
      </w:r>
    </w:p>
    <w:p>
      <w:pPr>
        <w:ind w:left="240"/>
      </w:pPr>
      <w:r>
        <w:t>明确汽车数据处理者出境安全评估、合同与认证要求，规范车联网数据流动。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《2026年中国AI发展趋势前瞻》</w:t>
      </w:r>
    </w:p>
    <w:p>
      <w:r>
        <w:rPr>
          <w:color w:val="646464"/>
          <w:sz w:val="20"/>
        </w:rPr>
        <w:t>文　　号：暂无</w:t>
        <w:br/>
        <w:t>发文机关：新华深读、工信部赛迪研究院</w:t>
        <w:br/>
        <w:t>发文日期：2026-01-28</w:t>
        <w:br/>
        <w:t>原文链接：https://igz.gzwxb.gov.cn/context/contextId/215009</w:t>
      </w:r>
    </w:p>
    <w:p>
      <w:pPr>
        <w:ind w:left="240"/>
      </w:pPr>
      <w:r>
        <w:t>分析数据孤岛、标准参差等制约，展望数据要素与大模型协同发展路径。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《互联网危险物品信息发布管理规定》</w:t>
      </w:r>
    </w:p>
    <w:p>
      <w:r>
        <w:rPr>
          <w:color w:val="646464"/>
          <w:sz w:val="20"/>
        </w:rPr>
        <w:t>文　　号：暂无</w:t>
        <w:br/>
        <w:t>发文机关：公安部、网信办、工信部等6部门</w:t>
        <w:br/>
        <w:t>发文日期：2026-10-16</w:t>
        <w:br/>
        <w:t>原文链接：https://cagd.gov.cn/c/a/28/</w:t>
      </w:r>
    </w:p>
    <w:p>
      <w:pPr>
        <w:ind w:left="240"/>
      </w:pPr>
      <w:r>
        <w:t>规范互联网危险物品信息发布，压实平台审核与报告义务。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部署数字乡村基础设施、数据要素与数字治理，推进城乡数字化协同发展。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《专家解读：高质量推进数字乡村建设》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解读数字乡村建设重点任务，强调数据下沉与数字素养提升。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《专家解读：坚持智能化、绿色化、融合化方向 纵深推进数字化绿色化协同转型发展》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发文日期：2026-09-04</w:t>
        <w:br/>
        <w:t>原文链接：https://www.cac.gov.cn/wxzw/zcfg/A093703index_1.htm</w:t>
      </w:r>
    </w:p>
    <w:p>
      <w:pPr>
        <w:ind w:left="240"/>
      </w:pPr>
      <w:r>
        <w:t>提出以智能化、绿色化、融合化推进数字化绿色化协同转型。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《2026年2月国内网络安全领域重要政策及标准速览》</w:t>
      </w:r>
    </w:p>
    <w:p>
      <w:r>
        <w:rPr>
          <w:color w:val="646464"/>
          <w:sz w:val="20"/>
        </w:rPr>
        <w:t>文　　号：暂无</w:t>
        <w:br/>
        <w:t>发文机关：相关标准化机构</w:t>
        <w:br/>
        <w:t>发文日期：2026-02-28</w:t>
      </w:r>
    </w:p>
    <w:p>
      <w:pPr>
        <w:ind w:left="240"/>
      </w:pPr>
      <w:r>
        <w:t>汇总当月网络安全政策与标准动态，涵盖等级保护、数据安全等方向。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国家网信办2026年8月就《大型个人信息处理者个人信息保护规定（征求意见稿）》公开征求意见，同时8月20日通报个人信息保护系列专项行动阶段性成效，形成“立规+执法”双轮驱动。逻辑：监管重心正从普遍性合规转向对超大型平台的结构性约束，以合规审计、跨境规则和算法透明度为抓手，回应数据集中带来的系统性风险。研判：预计年内正式稿将落地，大型平台需提前建立独立合规审计与数据映射机制；中小平台可能面临合规成本外溢，监管或配套分级分类指引以避免“一刀切”。</w:t>
      </w:r>
    </w:p>
    <w:p>
      <w:r>
        <w:rPr>
          <w:b/>
          <w:color w:val="5B6DE4"/>
        </w:rPr>
        <w:t xml:space="preserve">②  </w:t>
      </w:r>
      <w:r>
        <w:t>现象：工信部等四部门2026年7月印发《关于推动互联网基础资源高质量发展的指导意见》，提出优化IPv6、域名、标识等基础资源供给，并强调与算力、数据底座协同。逻辑：互联网基础资源是数字经济“根系统”，政策意图在于从底层协议和标识体系入手，解决数据流通壁垒与算力调度不畅问题，为东数西算和全国一体化算力网提供支撑。研判：下一步可能出台基础资源与算力标识互通的实施细则，IPv6单栈和域名解析安全将成为监管重点，企业需关注标识注册与解析合规。</w:t>
      </w:r>
    </w:p>
    <w:p>
      <w:r>
        <w:rPr>
          <w:b/>
          <w:color w:val="5B6DE4"/>
        </w:rPr>
        <w:t xml:space="preserve">③  </w:t>
      </w:r>
      <w:r>
        <w:t>现象：中央网信办2026年9月发布《数字乡村高质量发展行动计划（2026—2030年）》，同期专家解读强调数字化绿色化协同转型。逻辑：数字乡村与绿色化协同被纳入同一政策框架，反映政策制定者试图以数字化手段提升农村治理与产业效率，同时以绿色化约束数据中心和算力扩张的能耗。研判：县域算力节点和农业数据要素市场可能成为下一阶段试点重点，但需警惕重复建设与数据孤岛；绿色化指标或纳入地方数字化考核。</w:t>
      </w:r>
    </w:p>
    <w:p>
      <w:r>
        <w:rPr>
          <w:b/>
          <w:color w:val="5B6DE4"/>
        </w:rPr>
        <w:t xml:space="preserve">④  </w:t>
      </w:r>
      <w:r>
        <w:t>现象：工信部等八部门2026年2月发布《汽车数据出境安全指引（2026版）》，国家网信办7月发布数据出境政策问答，形成行业指引与通用问答互补。逻辑：数据跨境监管正从通用规则向行业场景细化，汽车、医疗、金融等敏感领域率先建立可操作的安全评估与合同范式，以平衡安全与产业国际化需求。研判：预计更多行业将出台出境指引，企业需建立数据分类分级与出境台账；自贸区负面清单与标准合同备案可能进一步简化，但安全评估门槛不会降低。</w:t>
      </w:r>
    </w:p>
    <w:p>
      <w:r>
        <w:rPr>
          <w:b/>
          <w:color w:val="5B6DE4"/>
        </w:rPr>
        <w:t xml:space="preserve">⑤  </w:t>
      </w:r>
      <w:r>
        <w:t>现象：2026年上半年工信部新闻发布会披露工业互联网、5G、算力进展，同时“数安中国行”宣讲会在广东等地举办，推动数据安全法规落地。逻辑：政策执行层面正从“发文”转向“宣贯+试点”，通过地方宣讲和试点示范降低企业合规不确定性，同时以工业互联网为抓手推动数字经济与实体经济融合。研判：广东、浙江等数字经济大省可能率先形成数据安全合规标杆，工业互联网平台需关注数据确权与跨企业流通规则，安全投入将从成本项转为竞争力项。</w:t>
      </w:r>
    </w:p>
    <w:p>
      <w:r>
        <w:rPr>
          <w:b/>
          <w:color w:val="5B6DE4"/>
        </w:rPr>
        <w:t xml:space="preserve">⑥  </w:t>
      </w:r>
      <w:r>
        <w:t>现象：中国以国家数据局、网信办为核心推进数据要素与AI治理，欧盟2026年继续落实AI Act与GDPR，日本数字厅推进AI与数据治理，美国则侧重行政令与NIST框架。逻辑：三方路径差异明显——中国强调数据要素市场化与安全并重，欧盟以基本权利和风险分级为锚，美国偏向技术标准与行业自律。研判：中国可借鉴欧盟风险分级思路细化大模型备案，同时保持数据要素流通优势；企业出海需同时满足GDPR与国内出境规则，合规架构应“一源多套”设计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