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生成日期：2026-05-26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《国务院办公厅关于进一步优化数字经济发展环境的指导意见》</w:t>
      </w:r>
    </w:p>
    <w:p>
      <w:r>
        <w:rPr>
          <w:color w:val="646464"/>
          <w:sz w:val="20"/>
        </w:rPr>
        <w:t>文　　号：国办发〔2026〕15号</w:t>
        <w:br/>
        <w:t>发文机关：国务院办公厅</w:t>
        <w:br/>
        <w:t>发文日期：2026-05-25</w:t>
      </w:r>
    </w:p>
    <w:p>
      <w:pPr>
        <w:ind w:left="240"/>
      </w:pPr>
      <w:r>
        <w:t>提出放宽数据要素市场准入，简化算力基础设施审批流程，促进数字经济与实体经济深度融合。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《国家数据局关于印发《数据要素市场化配置改革试点方案》的通知》</w:t>
      </w:r>
    </w:p>
    <w:p>
      <w:r>
        <w:rPr>
          <w:color w:val="646464"/>
          <w:sz w:val="20"/>
        </w:rPr>
        <w:t>文　　号：国数局〔2026〕12号</w:t>
        <w:br/>
        <w:t>发文机关：国家数据局</w:t>
        <w:br/>
        <w:t>发文日期：2026-05-24</w:t>
      </w:r>
    </w:p>
    <w:p>
      <w:pPr>
        <w:ind w:left="240"/>
      </w:pPr>
      <w:r>
        <w:t>在10个省市开展数据产权、流通交易、收益分配等改革试点，探索数据资产化路径。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《工业和信息化部关于加快算力网络高质量发展的通知》</w:t>
      </w:r>
    </w:p>
    <w:p>
      <w:r>
        <w:rPr>
          <w:color w:val="646464"/>
          <w:sz w:val="20"/>
        </w:rPr>
        <w:t>文　　号：工信部信管〔2026〕98号</w:t>
        <w:br/>
        <w:t>发文机关：工业和信息化部</w:t>
        <w:br/>
        <w:t>发文日期：2026-05-24</w:t>
      </w:r>
    </w:p>
    <w:p>
      <w:pPr>
        <w:ind w:left="240"/>
      </w:pPr>
      <w:r>
        <w:t>部署全国一体化算力网络建设，推动东数西算工程升级，强化算力调度与绿色低碳发展。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《中央网信办关于加强生成式人工智能安全管理的补充规定》</w:t>
      </w:r>
    </w:p>
    <w:p>
      <w:r>
        <w:rPr>
          <w:color w:val="646464"/>
          <w:sz w:val="20"/>
        </w:rPr>
        <w:t>文　　号：网信办〔2026〕8号</w:t>
        <w:br/>
        <w:t>发文机关：中央网络安全和信息化委员会办公室</w:t>
        <w:br/>
        <w:t>发文日期：2026-05-23</w:t>
      </w:r>
    </w:p>
    <w:p>
      <w:pPr>
        <w:ind w:left="240"/>
      </w:pPr>
      <w:r>
        <w:t>要求AI服务提供者建立数据安全分级制度，对训练数据实施来源审核与内容过滤。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《国家发展改革委关于数据中心节能降碳行动方案的通知》</w:t>
      </w:r>
    </w:p>
    <w:p>
      <w:r>
        <w:rPr>
          <w:color w:val="646464"/>
          <w:sz w:val="20"/>
        </w:rPr>
        <w:t>文　　号：发改环资〔2026〕567号</w:t>
        <w:br/>
        <w:t>发文机关：国家发展和改革委员会</w:t>
        <w:br/>
        <w:t>发文日期：2026-05-23</w:t>
      </w:r>
    </w:p>
    <w:p>
      <w:pPr>
        <w:ind w:left="240"/>
      </w:pPr>
      <w:r>
        <w:t>明确2026年底前新建大型数据中心PUE低于1.2，鼓励使用绿电与液冷技术。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 工业和信息化部联合印发《数据安全治理能力评估指南》》</w:t>
      </w:r>
    </w:p>
    <w:p>
      <w:r>
        <w:rPr>
          <w:color w:val="646464"/>
          <w:sz w:val="20"/>
        </w:rPr>
        <w:t>文　　号：国数局联〔2026〕5号</w:t>
        <w:br/>
        <w:t>发文机关：国家数据局、工业和信息化部</w:t>
        <w:br/>
        <w:t>发文日期：2026-05-22</w:t>
      </w:r>
    </w:p>
    <w:p>
      <w:pPr>
        <w:ind w:left="240"/>
      </w:pPr>
      <w:r>
        <w:t>建立数据安全治理能力分级评估体系，指导企业开展数据安全自评估与整改。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《国务院关于印发《数字中国建设整体布局规划（2026-2030年）》的通知》</w:t>
      </w:r>
    </w:p>
    <w:p>
      <w:r>
        <w:rPr>
          <w:color w:val="646464"/>
          <w:sz w:val="20"/>
        </w:rPr>
        <w:t>文　　号：国发〔2026〕12号</w:t>
        <w:br/>
        <w:t>发文机关：国务院</w:t>
        <w:br/>
        <w:t>发文日期：2026-05-10</w:t>
      </w:r>
    </w:p>
    <w:p>
      <w:pPr>
        <w:ind w:left="240"/>
      </w:pPr>
      <w:r>
        <w:t>提出到2030年建成全国一体化数据市场，数字基础设施达到世界先进水平。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《国家数据局关于公共数据授权运营管理办法（试行）》</w:t>
      </w:r>
    </w:p>
    <w:p>
      <w:r>
        <w:rPr>
          <w:color w:val="646464"/>
          <w:sz w:val="20"/>
        </w:rPr>
        <w:t>文　　号：国数局〔2026〕10号</w:t>
        <w:br/>
        <w:t>发文机关：国家数据局</w:t>
        <w:br/>
        <w:t>发文日期：2026-05-08</w:t>
      </w:r>
    </w:p>
    <w:p>
      <w:pPr>
        <w:ind w:left="240"/>
      </w:pPr>
      <w:r>
        <w:t>规范公共数据授权运营流程，明确数据提供方、运营方和使用方的权责边界。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《工业和信息化部关于推进工业互联网平台高质量发展的指导意见》</w:t>
      </w:r>
    </w:p>
    <w:p>
      <w:r>
        <w:rPr>
          <w:color w:val="646464"/>
          <w:sz w:val="20"/>
        </w:rPr>
        <w:t>文　　号：工信部信软〔2026〕85号</w:t>
        <w:br/>
        <w:t>发文机关：工业和信息化部</w:t>
        <w:br/>
        <w:t>发文日期：2026-05-06</w:t>
      </w:r>
    </w:p>
    <w:p>
      <w:pPr>
        <w:ind w:left="240"/>
      </w:pPr>
      <w:r>
        <w:t>支持建设一批行业级工业互联网平台，推动中小企业上云用数赋智。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 国家发展改革委 工业和信息化部联合印发《算力基础设施安全防护指南》》</w:t>
      </w:r>
    </w:p>
    <w:p>
      <w:r>
        <w:rPr>
          <w:color w:val="646464"/>
          <w:sz w:val="20"/>
        </w:rPr>
        <w:t>文　　号：网信办联〔2026〕3号</w:t>
        <w:br/>
        <w:t>发文机关：中央网信办、国家发展改革委、工业和信息化部</w:t>
        <w:br/>
        <w:t>发文日期：2026-04-30</w:t>
      </w:r>
    </w:p>
    <w:p>
      <w:pPr>
        <w:ind w:left="240"/>
      </w:pPr>
      <w:r>
        <w:t>针对算力中心、网络传输、数据存储等环节提出安全防护技术要求与应急管理措施。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《国家数据局关于数据要素型企业认定与扶持政策的通知》</w:t>
      </w:r>
    </w:p>
    <w:p>
      <w:r>
        <w:rPr>
          <w:color w:val="646464"/>
          <w:sz w:val="20"/>
        </w:rPr>
        <w:t>文　　号：国数局〔2026〕8号</w:t>
        <w:br/>
        <w:t>发文机关：国家数据局</w:t>
        <w:br/>
        <w:t>发文日期：2026-04-28</w:t>
      </w:r>
    </w:p>
    <w:p>
      <w:pPr>
        <w:ind w:left="240"/>
      </w:pPr>
      <w:r>
        <w:t>明确数据要素型企业认定标准，在税收、融资、用地等方面给予政策倾斜。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《北京市经济和信息化局关于印发《北京市数据基础制度先行区建设方案》的通知》</w:t>
      </w:r>
    </w:p>
    <w:p>
      <w:r>
        <w:rPr>
          <w:color w:val="646464"/>
          <w:sz w:val="20"/>
        </w:rPr>
        <w:t>文　　号：京经信发〔2026〕45号</w:t>
        <w:br/>
        <w:t>发文机关：北京市经济和信息化局</w:t>
        <w:br/>
        <w:t>发文日期：2026-04-26</w:t>
      </w:r>
    </w:p>
    <w:p>
      <w:pPr>
        <w:ind w:left="240"/>
      </w:pPr>
      <w:r>
        <w:t>在副中心建设数据基础制度先行区，开展数据资产登记、跨境数据流动等试点。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三、未来趋势判断</w:t>
      </w:r>
    </w:p>
    <w:p>
      <w:r>
        <w:rPr>
          <w:b/>
          <w:color w:val="5B6DE4"/>
        </w:rPr>
        <w:t xml:space="preserve">①  </w:t>
      </w:r>
      <w:r>
        <w:t>趋势 1：数据要素市场化改革加速推进，国家数据局密集出台产权、流通、收益分配等配套政策，地方试点范围扩大。</w:t>
      </w:r>
    </w:p>
    <w:p>
      <w:r>
        <w:rPr>
          <w:b/>
          <w:color w:val="5B6DE4"/>
        </w:rPr>
        <w:t xml:space="preserve">②  </w:t>
      </w:r>
      <w:r>
        <w:t>趋势 2：算力网络建设进入一体化调度阶段，东数西算工程升级，绿色低碳与安全防护成为刚性约束。</w:t>
      </w:r>
    </w:p>
    <w:p>
      <w:r>
        <w:rPr>
          <w:b/>
          <w:color w:val="5B6DE4"/>
        </w:rPr>
        <w:t xml:space="preserve">③  </w:t>
      </w:r>
      <w:r>
        <w:t>趋势 3：生成式AI安全监管细化，训练数据来源审核与内容过滤要求趋严，企业合规成本上升。</w:t>
      </w:r>
    </w:p>
    <w:p>
      <w:r>
        <w:rPr>
          <w:b/>
          <w:color w:val="5B6DE4"/>
        </w:rPr>
        <w:t xml:space="preserve">④  </w:t>
      </w:r>
      <w:r>
        <w:t>趋势 4：公共数据授权运营从试点走向制度化，各地纷纷出台管理办法，探索数据资产化路径。</w:t>
      </w:r>
    </w:p>
    <w:p>
      <w:r>
        <w:rPr>
          <w:b/>
          <w:color w:val="5B6DE4"/>
        </w:rPr>
        <w:t xml:space="preserve">⑤  </w:t>
      </w:r>
      <w:r>
        <w:t>趋势 5：工业互联网与中小企业数字化转型深度融合，行业级平台建设成为政策扶持重点。</w:t>
      </w:r>
    </w:p>
    <w:p>
      <w:r>
        <w:rPr>
          <w:b/>
          <w:color w:val="5B6DE4"/>
        </w:rPr>
        <w:t xml:space="preserve">⑥  </w:t>
      </w:r>
      <w:r>
        <w:t>趋势 6：数字中国建设顶层规划落地，各地加快制定配套实施方案，数据基础设施投资持续增长。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