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生成日期：2026-06-01　　数据 · 算力 · 信息化</w:t>
      </w:r>
    </w:p>
    <w:p/>
    <w:p>
      <w:pPr>
        <w:pStyle w:val="Heading1"/>
      </w:pPr>
      <w:r>
        <w:rPr>
          <w:color w:val="5B6DE4"/>
          <w:sz w:val="28"/>
        </w:rPr>
        <w:t>一、过去 24 小时关键政策</w:t>
      </w:r>
    </w:p>
    <w:p>
      <w:r>
        <w:rPr>
          <w:b/>
          <w:sz w:val="24"/>
        </w:rPr>
        <w:t>《第五届全国信息技术标准化技术委员会第一次全体会议在京召开》</w:t>
      </w:r>
    </w:p>
    <w:p>
      <w:r>
        <w:rPr>
          <w:color w:val="646464"/>
          <w:sz w:val="20"/>
        </w:rPr>
        <w:t>文　　号：暂无</w:t>
        <w:br/>
        <w:t>发文机关：工业和信息化部</w:t>
        <w:br/>
        <w:t>发文日期：2026-05-29</w:t>
        <w:br/>
        <w:t>原文链接：https://www.miit.gov.cn/xbymdz/xwfb/gxdt/</w:t>
      </w:r>
    </w:p>
    <w:p>
      <w:pPr>
        <w:ind w:left="240"/>
      </w:pPr>
      <w:r>
        <w:t>部署信息技术标准化工作，推动数字技术标准体系建设。</w:t>
      </w:r>
    </w:p>
    <w:p>
      <w:pPr>
        <w:spacing w:before="0" w:after="80"/>
        <w:pBdr>
          <w:bottom w:val="single" w:sz="4" w:space="1" w:color="DDDDDD"/>
        </w:pBdr>
      </w:pPr>
    </w:p>
    <w:p>
      <w:r>
        <w:rPr>
          <w:b/>
          <w:sz w:val="24"/>
        </w:rPr>
        <w:t>《李乐成主持召开2026年工业和信息化部全面深化改革领导小组会议》</w:t>
      </w:r>
    </w:p>
    <w:p>
      <w:r>
        <w:rPr>
          <w:color w:val="646464"/>
          <w:sz w:val="20"/>
        </w:rPr>
        <w:t>文　　号：暂无</w:t>
        <w:br/>
        <w:t>发文机关：工业和信息化部</w:t>
        <w:br/>
        <w:t>发文日期：2026-05-29</w:t>
        <w:br/>
        <w:t>原文链接：https://www.miit.gov.cn/xbymdz/xwfb/gxdt/</w:t>
      </w:r>
    </w:p>
    <w:p>
      <w:pPr>
        <w:ind w:left="240"/>
      </w:pPr>
      <w:r>
        <w:t>研究深化工业和信息化领域改革，推进产业数字化转型。</w:t>
      </w:r>
    </w:p>
    <w:p>
      <w:pPr>
        <w:spacing w:before="0" w:after="80"/>
        <w:pBdr>
          <w:bottom w:val="single" w:sz="4" w:space="1" w:color="DDDDDD"/>
        </w:pBdr>
      </w:pPr>
    </w:p>
    <w:p>
      <w:r>
        <w:rPr>
          <w:b/>
          <w:sz w:val="24"/>
        </w:rPr>
        <w:t>《李乐成主持召开全国新能源汽车动力电池回收利用工作专班第二次会议》</w:t>
      </w:r>
    </w:p>
    <w:p>
      <w:r>
        <w:rPr>
          <w:color w:val="646464"/>
          <w:sz w:val="20"/>
        </w:rPr>
        <w:t>文　　号：暂无</w:t>
        <w:br/>
        <w:t>发文机关：工业和信息化部</w:t>
        <w:br/>
        <w:t>发文日期：2026-05-28</w:t>
        <w:br/>
        <w:t>原文链接：https://www.miit.gov.cn/xbymdz/xwfb/gxdt/</w:t>
      </w:r>
    </w:p>
    <w:p>
      <w:pPr>
        <w:ind w:left="240"/>
      </w:pPr>
      <w:r>
        <w:t>推进动力电池回收利用体系建设，强化数字监管手段。</w:t>
      </w:r>
    </w:p>
    <w:p>
      <w:pPr>
        <w:spacing w:before="0" w:after="80"/>
        <w:pBdr>
          <w:bottom w:val="single" w:sz="4" w:space="1" w:color="DDDDDD"/>
        </w:pBdr>
      </w:pPr>
    </w:p>
    <w:p>
      <w:r>
        <w:rPr>
          <w:b/>
          <w:sz w:val="24"/>
        </w:rPr>
        <w:t>《2026金砖国家新工业革命伙伴关系论坛在厦门开幕》</w:t>
      </w:r>
    </w:p>
    <w:p>
      <w:r>
        <w:rPr>
          <w:color w:val="646464"/>
          <w:sz w:val="20"/>
        </w:rPr>
        <w:t>文　　号：暂无</w:t>
        <w:br/>
        <w:t>发文机关：工业和信息化部</w:t>
        <w:br/>
        <w:t>发文日期：2026-05-27</w:t>
        <w:br/>
        <w:t>原文链接：https://www.miit.gov.cn/xbymdz/xwfb/gxdt/</w:t>
      </w:r>
    </w:p>
    <w:p>
      <w:pPr>
        <w:ind w:left="240"/>
      </w:pPr>
      <w:r>
        <w:t>聚焦数字经济与工业互联网合作，发布金砖数字化转型倡议。</w:t>
      </w:r>
    </w:p>
    <w:p>
      <w:pPr>
        <w:spacing w:before="0" w:after="80"/>
        <w:pBdr>
          <w:bottom w:val="single" w:sz="4" w:space="1" w:color="DDDDDD"/>
        </w:pBdr>
      </w:pPr>
    </w:p>
    <w:p>
      <w:r>
        <w:rPr>
          <w:b/>
          <w:sz w:val="24"/>
        </w:rPr>
        <w:t>《2026年全民数字素养与技能提升月启动》</w:t>
      </w:r>
    </w:p>
    <w:p>
      <w:r>
        <w:rPr>
          <w:color w:val="646464"/>
          <w:sz w:val="20"/>
        </w:rPr>
        <w:t>文　　号：暂无</w:t>
        <w:br/>
        <w:t>发文机关：中央网信办</w:t>
        <w:br/>
        <w:t>发文日期：2026-05-19</w:t>
        <w:br/>
        <w:t>原文链接：https://www.cac.gov.cn/wxzw/A0937index_1.htm</w:t>
      </w:r>
    </w:p>
    <w:p>
      <w:pPr>
        <w:ind w:left="240"/>
      </w:pPr>
      <w:r>
        <w:t>提升全民数字素养，推动数字技能普及与数字包容。</w:t>
      </w:r>
    </w:p>
    <w:p>
      <w:pPr>
        <w:spacing w:before="0" w:after="80"/>
        <w:pBdr>
          <w:bottom w:val="single" w:sz="4" w:space="1" w:color="DDDDDD"/>
        </w:pBdr>
      </w:pPr>
    </w:p>
    <w:p>
      <w:r>
        <w:rPr>
          <w:b/>
          <w:sz w:val="24"/>
        </w:rPr>
        <w:t>《2026年中国网络文明大会在南宁举行》</w:t>
      </w:r>
    </w:p>
    <w:p>
      <w:r>
        <w:rPr>
          <w:color w:val="646464"/>
          <w:sz w:val="20"/>
        </w:rPr>
        <w:t>文　　号：暂无</w:t>
        <w:br/>
        <w:t>发文机关：中央网信办</w:t>
        <w:br/>
        <w:t>发文日期：2026-05-19</w:t>
        <w:br/>
        <w:t>原文链接：https://www.zjwx.gov.cn/col/col1673580/</w:t>
      </w:r>
    </w:p>
    <w:p>
      <w:pPr>
        <w:ind w:left="240"/>
      </w:pPr>
      <w:r>
        <w:t>聚焦网络文明建设，部署人工智能伦理与算法治理议题。</w:t>
      </w:r>
    </w:p>
    <w:p>
      <w:pPr>
        <w:spacing w:before="0" w:after="80"/>
        <w:pBdr>
          <w:bottom w:val="single" w:sz="4" w:space="1" w:color="DDDDDD"/>
        </w:pBdr>
      </w:pPr>
    </w:p>
    <w:p/>
    <w:p>
      <w:pPr>
        <w:pStyle w:val="Heading1"/>
      </w:pPr>
      <w:r>
        <w:rPr>
          <w:color w:val="5B6DE4"/>
          <w:sz w:val="28"/>
        </w:rPr>
        <w:t>二、过去一个月主要政策动向</w:t>
      </w:r>
    </w:p>
    <w:p>
      <w:r>
        <w:rPr>
          <w:b/>
          <w:sz w:val="24"/>
        </w:rPr>
        <w:t>《智能体规范应用与创新发展实施意见》</w:t>
      </w:r>
    </w:p>
    <w:p>
      <w:r>
        <w:rPr>
          <w:color w:val="646464"/>
          <w:sz w:val="20"/>
        </w:rPr>
        <w:t>文　　号：暂无</w:t>
        <w:br/>
        <w:t>发文机关：国家网信办</w:t>
        <w:br/>
        <w:t>发文日期：2026-05-08</w:t>
        <w:br/>
        <w:t>原文链接：https://www.cac.gov.cn/wxzw/zcfg/A093703index_1.htm</w:t>
      </w:r>
    </w:p>
    <w:p>
      <w:pPr>
        <w:ind w:left="240"/>
      </w:pPr>
      <w:r>
        <w:t>规范智能体应用，促进人工智能安全可控发展。</w:t>
      </w:r>
    </w:p>
    <w:p>
      <w:pPr>
        <w:spacing w:before="0" w:after="80"/>
        <w:pBdr>
          <w:bottom w:val="single" w:sz="4" w:space="1" w:color="DDDDDD"/>
        </w:pBdr>
      </w:pPr>
    </w:p>
    <w:p>
      <w:r>
        <w:rPr>
          <w:b/>
          <w:sz w:val="24"/>
        </w:rPr>
        <w:t>《民政部工业和信息化部广电总局国家新闻出版署国家网信办关于印发《公开募捐平台服务管理办法》的通知》</w:t>
      </w:r>
    </w:p>
    <w:p>
      <w:r>
        <w:rPr>
          <w:color w:val="646464"/>
          <w:sz w:val="20"/>
        </w:rPr>
        <w:t>文　　号：暂无</w:t>
        <w:br/>
        <w:t>发文机关：民政部、工信部、广电总局、国家新闻出版署、国家网信办</w:t>
        <w:br/>
        <w:t>发文日期：2026-05-08</w:t>
        <w:br/>
        <w:t>原文链接：https://www.cac.gov.cn/wxzw/zcfg/A093703index_1.htm</w:t>
      </w:r>
    </w:p>
    <w:p>
      <w:pPr>
        <w:ind w:left="240"/>
      </w:pPr>
      <w:r>
        <w:t>规范公开募捐平台，强化数据安全与个人信息保护。</w:t>
      </w:r>
    </w:p>
    <w:p>
      <w:pPr>
        <w:spacing w:before="0" w:after="80"/>
        <w:pBdr>
          <w:bottom w:val="single" w:sz="4" w:space="1" w:color="DDDDDD"/>
        </w:pBdr>
      </w:pPr>
    </w:p>
    <w:p>
      <w:r>
        <w:rPr>
          <w:b/>
          <w:sz w:val="24"/>
        </w:rPr>
        <w:t>《北京市互联网信息办公室等三部门关于印发中国(北京)自由贸易试验区,国家服务业扩大开放综合示范区数据出境负面清单及管理办法的通知》</w:t>
      </w:r>
    </w:p>
    <w:p>
      <w:r>
        <w:rPr>
          <w:color w:val="646464"/>
          <w:sz w:val="20"/>
        </w:rPr>
        <w:t>文　　号：暂无</w:t>
        <w:br/>
        <w:t>发文机关：北京市互联网信息办公室</w:t>
        <w:br/>
        <w:t>发文日期：2026-05-18</w:t>
        <w:br/>
        <w:t>原文链接：https://www.cac.gov.cn/wxzw/A0937index_1.htm</w:t>
      </w:r>
    </w:p>
    <w:p>
      <w:pPr>
        <w:ind w:left="240"/>
      </w:pPr>
      <w:r>
        <w:t>明确数据出境负面清单，便利自贸区数据跨境流动。</w:t>
      </w:r>
    </w:p>
    <w:p>
      <w:pPr>
        <w:spacing w:before="0" w:after="80"/>
        <w:pBdr>
          <w:bottom w:val="single" w:sz="4" w:space="1" w:color="DDDDDD"/>
        </w:pBdr>
      </w:pPr>
    </w:p>
    <w:p>
      <w:r>
        <w:rPr>
          <w:b/>
          <w:sz w:val="24"/>
        </w:rPr>
        <w:t>《上海市网信办,上海市数据局关于印发自由贸易试验区,国家服务业扩大开放综合试点地区(上海)数据出境负面清单》</w:t>
      </w:r>
    </w:p>
    <w:p>
      <w:r>
        <w:rPr>
          <w:color w:val="646464"/>
          <w:sz w:val="20"/>
        </w:rPr>
        <w:t>文　　号：暂无</w:t>
        <w:br/>
        <w:t>发文机关：上海市网信办、上海市数据局</w:t>
        <w:br/>
        <w:t>发文日期：2026-04-29</w:t>
        <w:br/>
        <w:t>原文链接：https://www.cac.gov.cn/wxzw/A0937index_1.htm</w:t>
      </w:r>
    </w:p>
    <w:p>
      <w:pPr>
        <w:ind w:left="240"/>
      </w:pPr>
      <w:r>
        <w:t>上海自贸区数据出境负面清单，细化数据分类分级管理。</w:t>
      </w:r>
    </w:p>
    <w:p>
      <w:pPr>
        <w:spacing w:before="0" w:after="80"/>
        <w:pBdr>
          <w:bottom w:val="single" w:sz="4" w:space="1" w:color="DDDDDD"/>
        </w:pBdr>
      </w:pPr>
    </w:p>
    <w:p>
      <w:r>
        <w:rPr>
          <w:b/>
          <w:sz w:val="24"/>
        </w:rPr>
        <w:t>《2026年“数据要素×”大赛通知发布》</w:t>
      </w:r>
    </w:p>
    <w:p>
      <w:r>
        <w:rPr>
          <w:color w:val="646464"/>
          <w:sz w:val="20"/>
        </w:rPr>
        <w:t>文　　号：暂无</w:t>
        <w:br/>
        <w:t>发文机关：国家数据局</w:t>
        <w:br/>
        <w:t>发文日期：2026-04-30</w:t>
      </w:r>
    </w:p>
    <w:p>
      <w:pPr>
        <w:ind w:left="240"/>
      </w:pPr>
      <w:r>
        <w:t>举办数据要素大赛，推动数据要素乘数效应落地。</w:t>
      </w:r>
    </w:p>
    <w:p>
      <w:pPr>
        <w:spacing w:before="0" w:after="80"/>
        <w:pBdr>
          <w:bottom w:val="single" w:sz="4" w:space="1" w:color="DDDDDD"/>
        </w:pBdr>
      </w:pPr>
    </w:p>
    <w:p>
      <w:r>
        <w:rPr>
          <w:b/>
          <w:sz w:val="24"/>
        </w:rPr>
        <w:t>《国家数据局印发2026年数字经济发展工作要点》</w:t>
      </w:r>
    </w:p>
    <w:p>
      <w:r>
        <w:rPr>
          <w:color w:val="646464"/>
          <w:sz w:val="20"/>
        </w:rPr>
        <w:t>文　　号：暂无</w:t>
        <w:br/>
        <w:t>发文机关：国家数据局</w:t>
        <w:br/>
        <w:t>发文日期：2026-04-22</w:t>
        <w:br/>
        <w:t>原文链接：http://www.szlhq.gov.cn/bmxxgk/zwfwj/dtxx_124513/gzdt_124514/content/post_12804699.html</w:t>
      </w:r>
    </w:p>
    <w:p>
      <w:pPr>
        <w:ind w:left="240"/>
      </w:pPr>
      <w:r>
        <w:t>部署算力网建设、数据赋能AI、数据基础设施等任务。</w:t>
      </w:r>
    </w:p>
    <w:p>
      <w:pPr>
        <w:spacing w:before="0" w:after="80"/>
        <w:pBdr>
          <w:bottom w:val="single" w:sz="4" w:space="1" w:color="DDDDDD"/>
        </w:pBdr>
      </w:pPr>
    </w:p>
    <w:p>
      <w:r>
        <w:rPr>
          <w:b/>
          <w:sz w:val="24"/>
        </w:rPr>
        <w:t>《广东省工业和信息化厅关于开展2026年支持推动人工智能赋能新型工业化标杆项目入库储备工作的通知》</w:t>
      </w:r>
    </w:p>
    <w:p>
      <w:r>
        <w:rPr>
          <w:color w:val="646464"/>
          <w:sz w:val="20"/>
        </w:rPr>
        <w:t>文　　号：暂无</w:t>
        <w:br/>
        <w:t>发文机关：广东省工业和信息化厅</w:t>
        <w:br/>
        <w:t>发文日期：2026-05-01</w:t>
        <w:br/>
        <w:t>原文链接：http://www.jiangmen.gov.cn/jmgxj/attachment/0/349/349704/3350943.pdf</w:t>
      </w:r>
    </w:p>
    <w:p>
      <w:pPr>
        <w:ind w:left="240"/>
      </w:pPr>
      <w:r>
        <w:t>支持AI赋能新型工业化，开展标杆项目入库储备。</w:t>
      </w:r>
    </w:p>
    <w:p>
      <w:pPr>
        <w:spacing w:before="0" w:after="80"/>
        <w:pBdr>
          <w:bottom w:val="single" w:sz="4" w:space="1" w:color="DDDDDD"/>
        </w:pBdr>
      </w:pPr>
    </w:p>
    <w:p/>
    <w:p>
      <w:pPr>
        <w:pStyle w:val="Heading1"/>
      </w:pPr>
      <w:r>
        <w:rPr>
          <w:color w:val="5B6DE4"/>
          <w:sz w:val="28"/>
        </w:rPr>
        <w:t>三、今年以来主要政策</w:t>
      </w:r>
    </w:p>
    <w:p>
      <w:r>
        <w:rPr>
          <w:b/>
          <w:sz w:val="24"/>
        </w:rPr>
        <w:t>《关于提升境外人员入境数字化服务便利性的实施意见》</w:t>
      </w:r>
    </w:p>
    <w:p>
      <w:r>
        <w:rPr>
          <w:color w:val="646464"/>
          <w:sz w:val="20"/>
        </w:rPr>
        <w:t>文　　号：暂无</w:t>
        <w:br/>
        <w:t>发文机关：国家网信办</w:t>
        <w:br/>
        <w:t>发文日期：2026-02-05</w:t>
        <w:br/>
        <w:t>原文链接：https://www.cagd.gov.cn/c/a/5/1.html</w:t>
      </w:r>
    </w:p>
    <w:p>
      <w:pPr>
        <w:ind w:left="240"/>
      </w:pPr>
      <w:r>
        <w:t>提升入境数字化服务，以数字开放赋能高水平对外开放。</w:t>
      </w:r>
    </w:p>
    <w:p>
      <w:pPr>
        <w:spacing w:before="0" w:after="80"/>
        <w:pBdr>
          <w:bottom w:val="single" w:sz="4" w:space="1" w:color="DDDDDD"/>
        </w:pBdr>
      </w:pPr>
    </w:p>
    <w:p>
      <w:r>
        <w:rPr>
          <w:b/>
          <w:sz w:val="24"/>
        </w:rPr>
        <w:t>《政务移动互联网应用程序规范化管理办法》</w:t>
      </w:r>
    </w:p>
    <w:p>
      <w:r>
        <w:rPr>
          <w:color w:val="646464"/>
          <w:sz w:val="20"/>
        </w:rPr>
        <w:t>文　　号：暂无</w:t>
        <w:br/>
        <w:t>发文机关：国家网信办</w:t>
        <w:br/>
        <w:t>发文日期：2026-01-29</w:t>
        <w:br/>
        <w:t>原文链接：https://www.cagd.gov.cn/c/a/5/1.html</w:t>
      </w:r>
    </w:p>
    <w:p>
      <w:pPr>
        <w:ind w:left="240"/>
      </w:pPr>
      <w:r>
        <w:t>规范政务App，强化数据安全与个人信息保护。</w:t>
      </w:r>
    </w:p>
    <w:p>
      <w:pPr>
        <w:spacing w:before="0" w:after="80"/>
        <w:pBdr>
          <w:bottom w:val="single" w:sz="4" w:space="1" w:color="DDDDDD"/>
        </w:pBdr>
      </w:pPr>
    </w:p>
    <w:p>
      <w:r>
        <w:rPr>
          <w:b/>
          <w:sz w:val="24"/>
        </w:rPr>
        <w:t>《福建省工业和信息化厅关于开展2026年省级工业数字化转型项目申报工作的通知》</w:t>
      </w:r>
    </w:p>
    <w:p>
      <w:r>
        <w:rPr>
          <w:color w:val="646464"/>
          <w:sz w:val="20"/>
        </w:rPr>
        <w:t>文　　号：闽工信函信息〔2026〕43号</w:t>
        <w:br/>
        <w:t>发文机关：福建省工业和信息化厅</w:t>
        <w:br/>
        <w:t>发文日期：2026-02-03</w:t>
        <w:br/>
        <w:t>原文链接：https://www.fuzhou.gov.cn/zgfzzt/sjxw/fzjx/tzgg/202602/t20260204_5281427.htm</w:t>
      </w:r>
    </w:p>
    <w:p>
      <w:pPr>
        <w:ind w:left="240"/>
      </w:pPr>
      <w:r>
        <w:t>组织工业数字化转型项目申报，支持工业互联网平台。</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数据跨境流动治理从“原则性规定”走向“清单式管理”。北京、上海相继发布自贸区数据出境负面清单，明确禁止出境的特定数据类型，为数据跨境提供可操作的合规指引。这一转变表明，监管部门正试图在安全与发展之间寻求平衡，通过负面清单降低企业合规成本，同时守住数据安全底线。预计其他自贸区将跟进，形成全国统一的数据出境管理框架，但不同行业的数据分级分类标准仍需进一步细化。</w:t>
      </w:r>
    </w:p>
    <w:p>
      <w:r>
        <w:rPr>
          <w:b/>
          <w:color w:val="5B6DE4"/>
        </w:rPr>
        <w:t xml:space="preserve">②  </w:t>
      </w:r>
      <w:r>
        <w:t>趋势2：智能体（AI Agent）成为人工智能治理的新焦点。2026年5月，国家网信办发布《智能体规范应用与创新发展实施意见》，这是全球首个专门针对智能体的规范性文件。智能体具备自主决策、工具调用等能力，传统AI监管框架难以覆盖。该意见的出台标志着中国在AI治理上从“模型监管”向“行为监管”延伸，强调可追溯性与责任归属。未来，智能体的备案、审计、保险等配套制度将加速落地。</w:t>
      </w:r>
    </w:p>
    <w:p>
      <w:r>
        <w:rPr>
          <w:b/>
          <w:color w:val="5B6DE4"/>
        </w:rPr>
        <w:t xml:space="preserve">③  </w:t>
      </w:r>
      <w:r>
        <w:t>趋势3：算力基础设施布局从“规模扩张”转向“一体化协同”。国家数据局在2026年数字经济发展工作要点中明确提出“加快建设全国一体化算力网”，天津、山西等省市同步出台算力产业发展方案，强调通用算力、智能算力、超级算力的一体化布局。政策意图在于打破“算力孤岛”，通过统一调度提升利用率，并引导算力向绿色、高效方向发展。预计2026年下半年将出台算力调度国家标准，推动东数西算工程进入实质运营阶段。</w:t>
      </w:r>
    </w:p>
    <w:p>
      <w:r>
        <w:rPr>
          <w:b/>
          <w:color w:val="5B6DE4"/>
        </w:rPr>
        <w:t xml:space="preserve">④  </w:t>
      </w:r>
      <w:r>
        <w:t>趋势4：数据要素市场化进入“以赛促用”阶段。2026年“数据要素×”大赛启动，延续2024年以来的赛事模式，旨在挖掘高价值数据应用场景。与往年不同，本届大赛更强调“乘数效应”的量化评估，要求参赛项目提供明确的经济社会效益指标。这表明政策重心正从“数据资源化”转向“数据资产化”，但数据确权、定价、交易等基础制度仍不完善，大赛成果向规模化商业落地转化面临挑战。</w:t>
      </w:r>
    </w:p>
    <w:p>
      <w:r>
        <w:rPr>
          <w:b/>
          <w:color w:val="5B6DE4"/>
        </w:rPr>
        <w:t xml:space="preserve">⑤  </w:t>
      </w:r>
      <w:r>
        <w:t>趋势5：工业数字化转型政策从“面上推动”转向“行业深耕”。工信部等九部门联合印发的《原材料工业数字化转型工作方案》以及广西、山东等地的行动计划，均聚焦特定行业，提出诊断评估、标杆培育等精准措施。政策逻辑在于：不同行业的数字化基础、痛点和路径差异巨大，通用方案难以奏效。未来，细分行业的数字化转型指南将密集出台，但中小企业“不敢转、不会转”的问题仍需通过公共服务平台和财政补贴加以缓解。</w:t>
      </w:r>
    </w:p>
    <w:p>
      <w:r>
        <w:rPr>
          <w:b/>
          <w:color w:val="5B6DE4"/>
        </w:rPr>
        <w:t xml:space="preserve">⑥  </w:t>
      </w:r>
      <w:r>
        <w:t>趋势6（国际比较）：中国在AI治理上走“发展优先、安全并重”路线，与欧盟的“风险分级、严格合规”形成对比。中国《智能体规范应用与创新发展实施意见》强调促进创新，而欧盟《人工智能法案》对高风险AI系统实施事前认证、事后审计等严苛要求。美国则通过行政令推动联邦机构采用AI，同时鼓励行业自律。中国模式的优势在于快速响应技术迭代，但可能面临监管滞后风险；欧盟模式虽安全但可能抑制创新。启示：中国可借鉴欧盟的风险分级思路，对智能体实施差异化监管，同时保持对基础创新的政策包容度。</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