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生成日期：2026-10-04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原文链接：https://www.gov.cn/gongbao/2026/issue_12946/202608/content_7079356.html</w:t>
      </w:r>
    </w:p>
    <w:p>
      <w:pPr>
        <w:ind w:left="240"/>
      </w:pPr>
      <w:r>
        <w:t>规范网络数据安全风险评估活动，明确评估主体、内容、流程及法律责任，自2026年8月20日起施行。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部署未来五年数字化与绿色化协同转型，推动数字基础设施节能降碳与绿色产业数字化升级。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《中国数字乡村发展报告（2019—2025年）》</w:t>
      </w:r>
    </w:p>
    <w:p>
      <w:r>
        <w:rPr>
          <w:color w:val="646464"/>
          <w:sz w:val="20"/>
        </w:rPr>
        <w:t>文　　号：暂无</w:t>
        <w:br/>
        <w:t>发文机关：国家互联网信息办公室、农业农村部</w:t>
        <w:br/>
        <w:t>发文日期：2026-08-31</w:t>
        <w:br/>
        <w:t>原文链接：https://www.cac.gov.cn/wxzw/A0937index_1.htm</w:t>
      </w:r>
    </w:p>
    <w:p>
      <w:pPr>
        <w:ind w:left="240"/>
      </w:pPr>
      <w:r>
        <w:t>系统总结七年数字乡村建设成效，提出下一阶段农村数字基础设施与数据要素应用方向。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《2026年个人信息保护系列专项行动阶段性成效通报》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发文日期：2026-08-19</w:t>
        <w:br/>
        <w:t>原文链接：https://www.cac.gov.cn/wxzw/A0937index_1.htm</w:t>
      </w:r>
    </w:p>
    <w:p>
      <w:pPr>
        <w:ind w:left="240"/>
      </w:pPr>
      <w:r>
        <w:t>通报个人信息保护专项行动阶段性成果，聚焦App违规收集、人脸识别滥用等突出问题。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提出IPv6技术创新与融合应用五年方案，推动网络基础设施向下一代互联网演进升级。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发文日期：2026-07-13</w:t>
      </w:r>
    </w:p>
    <w:p>
      <w:pPr>
        <w:ind w:left="240"/>
      </w:pPr>
      <w:r>
        <w:t>四部门联合发文，部署互联网基础资源高质量发展，强化域名、IP地址等核心资源管理与应用。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《天津市算力产业发展实施方案（2024—2026年）》</w:t>
      </w:r>
    </w:p>
    <w:p>
      <w:r>
        <w:rPr>
          <w:color w:val="646464"/>
          <w:sz w:val="20"/>
        </w:rPr>
        <w:t>文　　号：暂无</w:t>
        <w:br/>
        <w:t>发文机关：天津市工业和信息化局</w:t>
        <w:br/>
        <w:t>发文日期：2024-07-22</w:t>
        <w:br/>
        <w:t>原文链接：https://gyxxh.tj.gov.cn/ZWGK4147/ZCWJ6355/sjwj/202407/t20240722_6681036.html</w:t>
      </w:r>
    </w:p>
    <w:p>
      <w:pPr>
        <w:ind w:left="240"/>
      </w:pPr>
      <w:r>
        <w:t>部署天津算力产业三年发展路径，提出智能算力供给、算网协同与产业生态培育目标。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等三部门联合发布《网络数据安全风险评估办法》（第24号令），自2026年8月20日起施行，明确风险评估为常态化义务。逻辑：这是数据安全法框架下从"原则宣示"走向"操作细则"的关键一步，通过强制评估将安全责任嵌入数据处理全流程。研判：预计金融、医疗、汽车等重点行业将率先出台配套评估细则，第三方评估机构资质认定或成下一阶段监管重点，企业合规成本短期上升但长期利好数据流通信任基础。</w:t>
      </w:r>
    </w:p>
    <w:p>
      <w:r>
        <w:rPr>
          <w:b/>
          <w:color w:val="5B6DE4"/>
        </w:rPr>
        <w:t xml:space="preserve">②  </w:t>
      </w:r>
      <w:r>
        <w:t>现象：中央网信办9月发布《促进数字化绿色化协同转型发展实施方案（2026-2030年）》，将数字基础设施节能降碳与绿色产业数字化并列部署。逻辑：双碳目标与数字经济战略进入交汇期，数据中心能耗问题成为算力扩张的硬约束，政策试图以"数绿协同"破解算力增长与能耗控制的两难。研判：绿色算力标准、数据中心PUE准入门槛将趋严，西部枢纽节点因可再生能源优势或获更多政策倾斜，企业需提前布局低碳算力采购策略。</w:t>
      </w:r>
    </w:p>
    <w:p>
      <w:r>
        <w:rPr>
          <w:b/>
          <w:color w:val="5B6DE4"/>
        </w:rPr>
        <w:t xml:space="preserve">③  </w:t>
      </w:r>
      <w:r>
        <w:t>现象：工信部等四部门7月联合印发《关于推动互联网基础资源高质量发展的指导意见》，覆盖域名、IP地址、AS号等核心资源管理。逻辑：IPv6规模部署进入深水区，互联网基础资源从"够用"转向"高质量"，背后是对网络空间主权与数字基础设施自主可控的战略考量。研判：IPv6单栈演进将加速，域名解析安全与根镜像节点布局或成下一政策焦点，中小企业IPv6改造支持政策有望跟进。</w:t>
      </w:r>
    </w:p>
    <w:p>
      <w:r>
        <w:rPr>
          <w:b/>
          <w:color w:val="5B6DE4"/>
        </w:rPr>
        <w:t xml:space="preserve">④  </w:t>
      </w:r>
      <w:r>
        <w:t>现象：国家网信办8月通报2026年个人信息保护系列专项行动阶段性成效，聚焦App违规收集和人脸识别滥用。逻辑：个人信息保护法实施近五年，执法从"立规矩"转向"常态化高压"，专项行动成为检验法律落地效果的核心抓手。研判：人脸识别、算法推荐、未成年人信息保护将是下一轮执法重点，企业需建立个人信息保护影响评估常态化机制，跨境数据流动合规审查或同步收紧。</w:t>
      </w:r>
    </w:p>
    <w:p>
      <w:r>
        <w:rPr>
          <w:b/>
          <w:color w:val="5B6DE4"/>
        </w:rPr>
        <w:t xml:space="preserve">⑤  </w:t>
      </w:r>
      <w:r>
        <w:t>现象：浙江省发改委6月答复政协提案，明确支持之江人工智能公共算力平台建设万卡级混合算力集群，以开放普惠方式提供AI算力。逻辑：地方算力竞赛从"建园区"转向"建生态"，公共算力平台承担降低中小企业AI门槛、培育本地AI产业的双重使命。研判：算力券、模型即服务（MaaS）等普惠模式将在更多省市推广，但需警惕重复建设与算力闲置，国家层面算力调度平台统筹力度将加强。</w:t>
      </w:r>
    </w:p>
    <w:p>
      <w:r>
        <w:rPr>
          <w:b/>
          <w:color w:val="5B6DE4"/>
        </w:rPr>
        <w:t xml:space="preserve">⑥  </w:t>
      </w:r>
      <w:r>
        <w:t>现象：欧盟AI法案2026年进入分阶段实施期，日本2025年通过以促进为主的AI推进法，美国则延续行政令框架下的安全评估路径。逻辑：三大经济体监管哲学分化明显——欧盟重风险分级、日本重创新促进、美国重安全底线，反映各自产业阶段与政治文化差异。研判：中国"生成式AI管理办法+算法备案"的敏捷治理模式介于三者之间，未来在国际AI标准互认、跨境数据流动规则对接方面面临更大协调压力，企业出海需同时应对多套合规体系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