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生成日期：2026-10-06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《数字乡村高质量发展行动计划(2026—2030年)》</w:t>
      </w:r>
    </w:p>
    <w:p>
      <w:r>
        <w:rPr>
          <w:color w:val="646464"/>
          <w:sz w:val="20"/>
        </w:rPr>
        <w:t>文　　号：暂无</w:t>
        <w:br/>
        <w:t>发文机关：中央网信办等</w:t>
        <w:br/>
        <w:t>发文日期：2026-09-11</w:t>
        <w:br/>
        <w:t>原文链接：https://www.cac.gov.cn/wxzw/zcfg/A093703index_1.htm</w:t>
      </w:r>
    </w:p>
    <w:p>
      <w:pPr>
        <w:ind w:left="240"/>
      </w:pPr>
      <w:r>
        <w:t>部署数字乡村基础设施、数据要素与数字治理，明确五年建设路径。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《促进数字化绿色化协同转型发展实施方案(2026-2030年)》</w:t>
      </w:r>
    </w:p>
    <w:p>
      <w:r>
        <w:rPr>
          <w:color w:val="646464"/>
          <w:sz w:val="20"/>
        </w:rPr>
        <w:t>文　　号：暂无</w:t>
        <w:br/>
        <w:t>发文机关：中央网信办等</w:t>
        <w:br/>
        <w:t>发文日期：2026-09-04</w:t>
        <w:br/>
        <w:t>原文链接：https://www.cac.gov.cn/wxzw/zcfg/zcwj/A09370306index_1.htm</w:t>
      </w:r>
    </w:p>
    <w:p>
      <w:pPr>
        <w:ind w:left="240"/>
      </w:pPr>
      <w:r>
        <w:t>推动算力设施绿色化与数字化改造协同，明确双化转型五年任务。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《药物临床试验电子数据指导原则》</w:t>
      </w:r>
    </w:p>
    <w:p>
      <w:r>
        <w:rPr>
          <w:color w:val="646464"/>
          <w:sz w:val="20"/>
        </w:rPr>
        <w:t>文　　号：暂无</w:t>
        <w:br/>
        <w:t>发文机关：国家药监局药审中心</w:t>
        <w:br/>
        <w:t>发文日期：2026-09-23</w:t>
        <w:br/>
        <w:t>原文链接：https://baijiahao.baidu.com/s?id=1877749886620706062&amp;wfr=spider&amp;for=pc</w:t>
      </w:r>
    </w:p>
    <w:p>
      <w:pPr>
        <w:ind w:left="240"/>
      </w:pPr>
      <w:r>
        <w:t>明确药物临床试验电子数据ALCOA++原则与计算机化系统合规要求。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号：国家网信办、工信部、公安部令第24号</w:t>
        <w:br/>
        <w:t>发文机关：国家网信办、工业和信息化部、公安部</w:t>
        <w:br/>
        <w:t>发文日期：2026-08-20</w:t>
        <w:br/>
        <w:t>原文链接：https://www.gov.cn/gongbao/2026/issue_12946/202608/content_7079356.html?_page=KOCQT9SB</w:t>
      </w:r>
    </w:p>
    <w:p>
      <w:pPr>
        <w:ind w:left="240"/>
      </w:pPr>
      <w:r>
        <w:t>规范网络数据安全风险评估活动，明确评估主体、流程与法律责任。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发文日期：2026-07-01</w:t>
        <w:br/>
        <w:t>原文链接：https://gyxxh.tj.gov.cn/ZWGK4147/ZCWJ6355/gjjwj/202607/t20260713_7334666.html</w:t>
      </w:r>
    </w:p>
    <w:p>
      <w:pPr>
        <w:ind w:left="240"/>
      </w:pPr>
      <w:r>
        <w:t>部署域名、IP、标识等互联网基础资源高质量发展，强化数据与安全支撑。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《深化互联网协议第六版(IPv6)技术创新和融合应用实施方案(2026—2030年)》</w:t>
      </w:r>
    </w:p>
    <w:p>
      <w:r>
        <w:rPr>
          <w:color w:val="646464"/>
          <w:sz w:val="20"/>
        </w:rPr>
        <w:t>文　　号：暂无</w:t>
        <w:br/>
        <w:t>发文机关：中央网信办等</w:t>
        <w:br/>
        <w:t>发文日期：2026-07-21</w:t>
        <w:br/>
        <w:t>原文链接：https://www.cac.gov.cn/wxzw/zcfg/zcwj/A09370306index_1.htm</w:t>
      </w:r>
    </w:p>
    <w:p>
      <w:pPr>
        <w:ind w:left="240"/>
      </w:pPr>
      <w:r>
        <w:t>明确IPv6技术创新与行业融合应用五年目标，支撑算力网络与数据流通。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《小型个人信息处理者个人信息保护简化措施规定》</w:t>
      </w:r>
    </w:p>
    <w:p>
      <w:r>
        <w:rPr>
          <w:color w:val="646464"/>
          <w:sz w:val="20"/>
        </w:rPr>
        <w:t>文　　号：暂无</w:t>
        <w:br/>
        <w:t>发文机关：国家网信办、公安部</w:t>
        <w:br/>
        <w:t>发文日期：2026-07-24</w:t>
      </w:r>
    </w:p>
    <w:p>
      <w:pPr>
        <w:ind w:left="240"/>
      </w:pPr>
      <w:r>
        <w:t>对小型个人信息处理者设定简化合规义务，降低中小主体合规成本。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《数据出境安全管理政策法规问答(2026年7月)》</w:t>
      </w:r>
    </w:p>
    <w:p>
      <w:r>
        <w:rPr>
          <w:color w:val="646464"/>
          <w:sz w:val="20"/>
        </w:rPr>
        <w:t>文　　号：暂无</w:t>
        <w:br/>
        <w:t>发文机关：国家网信办</w:t>
        <w:br/>
        <w:t>发文日期：2026-07-24</w:t>
      </w:r>
    </w:p>
    <w:p>
      <w:pPr>
        <w:ind w:left="240"/>
      </w:pPr>
      <w:r>
        <w:t>以问答形式明确数据出境安全评估、标准合同等适用口径与操作要点。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《中华人民共和国网络安全法(2026年修改)》</w:t>
      </w:r>
    </w:p>
    <w:p>
      <w:r>
        <w:rPr>
          <w:color w:val="646464"/>
          <w:sz w:val="20"/>
        </w:rPr>
        <w:t>文　　号：暂无</w:t>
        <w:br/>
        <w:t>发文机关：全国人民代表大会常务委员会</w:t>
        <w:br/>
        <w:t>发文日期：2026-01-02</w:t>
        <w:br/>
        <w:t>原文链接：https://www.cac.gov.cn/2026-01/02/c_1769093523928606.htm</w:t>
      </w:r>
    </w:p>
    <w:p>
      <w:pPr>
        <w:ind w:left="240"/>
      </w:pPr>
      <w:r>
        <w:t>新增人工智能安全与发展专门条款，明确训练数据、算力与伦理规范要求。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发文日期：2026-07-01</w:t>
        <w:br/>
        <w:t>原文链接：https://gyxxh.tj.gov.cn/ZWGK4147/ZCWJ6355/gjjwj/202607/t20260713_7334666.html</w:t>
      </w:r>
    </w:p>
    <w:p>
      <w:pPr>
        <w:ind w:left="240"/>
      </w:pPr>
      <w:r>
        <w:t>部署域名、IP、标识等互联网基础资源高质量发展，强化数据与安全支撑。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《深化互联网协议第六版(IPv6)技术创新和融合应用实施方案(2026—2030年)》</w:t>
      </w:r>
    </w:p>
    <w:p>
      <w:r>
        <w:rPr>
          <w:color w:val="646464"/>
          <w:sz w:val="20"/>
        </w:rPr>
        <w:t>文　　号：暂无</w:t>
        <w:br/>
        <w:t>发文机关：中央网信办等</w:t>
        <w:br/>
        <w:t>发文日期：2026-07-21</w:t>
        <w:br/>
        <w:t>原文链接：https://www.cac.gov.cn/wxzw/zcfg/zcwj/A09370306index_1.htm</w:t>
      </w:r>
    </w:p>
    <w:p>
      <w:pPr>
        <w:ind w:left="240"/>
      </w:pPr>
      <w:r>
        <w:t>明确IPv6技术创新与行业融合应用五年目标，支撑算力网络与数据流通。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《小型个人信息处理者个人信息保护简化措施规定》</w:t>
      </w:r>
    </w:p>
    <w:p>
      <w:r>
        <w:rPr>
          <w:color w:val="646464"/>
          <w:sz w:val="20"/>
        </w:rPr>
        <w:t>文　　号：暂无</w:t>
        <w:br/>
        <w:t>发文机关：国家网信办、公安部</w:t>
        <w:br/>
        <w:t>发文日期：2026-07-24</w:t>
      </w:r>
    </w:p>
    <w:p>
      <w:pPr>
        <w:ind w:left="240"/>
      </w:pPr>
      <w:r>
        <w:t>对小型个人信息处理者设定简化合规义务，降低中小主体合规成本。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《数据出境安全管理政策法规问答(2026年7月)》</w:t>
      </w:r>
    </w:p>
    <w:p>
      <w:r>
        <w:rPr>
          <w:color w:val="646464"/>
          <w:sz w:val="20"/>
        </w:rPr>
        <w:t>文　　号：暂无</w:t>
        <w:br/>
        <w:t>发文机关：国家网信办</w:t>
        <w:br/>
        <w:t>发文日期：2026-07-24</w:t>
      </w:r>
    </w:p>
    <w:p>
      <w:pPr>
        <w:ind w:left="240"/>
      </w:pPr>
      <w:r>
        <w:t>以问答形式明确数据出境安全评估、标准合同等适用口径与操作要点。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号：国家网信办、工信部、公安部令第24号</w:t>
        <w:br/>
        <w:t>发文机关：国家网信办、工业和信息化部、公安部</w:t>
        <w:br/>
        <w:t>发文日期：2026-08-20</w:t>
        <w:br/>
        <w:t>原文链接：https://www.gov.cn/gongbao/2026/issue_12946/202608/content_7079356.html?_page=KOCQT9SB</w:t>
      </w:r>
    </w:p>
    <w:p>
      <w:pPr>
        <w:ind w:left="240"/>
      </w:pPr>
      <w:r>
        <w:t>规范网络数据安全风险评估活动，明确评估主体、流程与法律责任。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《促进数字化绿色化协同转型发展实施方案(2026-2030年)》</w:t>
      </w:r>
    </w:p>
    <w:p>
      <w:r>
        <w:rPr>
          <w:color w:val="646464"/>
          <w:sz w:val="20"/>
        </w:rPr>
        <w:t>文　　号：暂无</w:t>
        <w:br/>
        <w:t>发文机关：中央网信办等</w:t>
        <w:br/>
        <w:t>发文日期：2026-09-04</w:t>
        <w:br/>
        <w:t>原文链接：https://www.cac.gov.cn/wxzw/zcfg/zcwj/A09370306index_1.htm</w:t>
      </w:r>
    </w:p>
    <w:p>
      <w:pPr>
        <w:ind w:left="240"/>
      </w:pPr>
      <w:r>
        <w:t>推动算力设施绿色化与数字化改造协同，明确双化转型五年任务。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《数字乡村高质量发展行动计划(2026—2030年)》</w:t>
      </w:r>
    </w:p>
    <w:p>
      <w:r>
        <w:rPr>
          <w:color w:val="646464"/>
          <w:sz w:val="20"/>
        </w:rPr>
        <w:t>文　　号：暂无</w:t>
        <w:br/>
        <w:t>发文机关：中央网信办等</w:t>
        <w:br/>
        <w:t>发文日期：2026-09-11</w:t>
        <w:br/>
        <w:t>原文链接：https://www.cac.gov.cn/wxzw/zcfg/A093703index_1.htm</w:t>
      </w:r>
    </w:p>
    <w:p>
      <w:pPr>
        <w:ind w:left="240"/>
      </w:pPr>
      <w:r>
        <w:t>部署数字乡村基础设施、数据要素与数字治理，明确五年建设路径。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2026年1月修改后的《网络安全法》新增第二十条，首次在法律层面为人工智能安全与发展设立专门条款，明确支持训练数据资源、算力等基础设施建设，并要求完善伦理规范与风险监测评估。逻辑：这标志我国AI治理从部门规章上升到基本法律层级，意图在促进创新与守住安全底线之间建立制度平衡，回应大模型训练数据来源合规与算力扩张带来的新型风险。研判：后续配套的AI安全评估、训练数据合规细则将加速出台，企业需提前建立模型全生命周期合规档案，避免在新法实施后出现合规真空。</w:t>
      </w:r>
    </w:p>
    <w:p>
      <w:r>
        <w:rPr>
          <w:b/>
          <w:color w:val="5B6DE4"/>
        </w:rPr>
        <w:t xml:space="preserve">②  </w:t>
      </w:r>
      <w:r>
        <w:t>现象：国家网信办、工信部、公安部联合公布《网络数据安全风险评估办法》（第24号令），自2026年8月20日起施行，明确评估主体、流程与法律责任。逻辑：该办法将数据安全法确立的风险评估义务转化为可操作程序，填补了数据安全从原则到执行的中间环节，同时与数据出境安全评估形成内外衔接。研判：关键信息基础设施运营者与大型平台将面临常态化评估压力，第三方评估机构市场将快速扩容，中小企业可能通过简化措施获得差异化合规路径。</w:t>
      </w:r>
    </w:p>
    <w:p>
      <w:r>
        <w:rPr>
          <w:b/>
          <w:color w:val="5B6DE4"/>
        </w:rPr>
        <w:t xml:space="preserve">③  </w:t>
      </w:r>
      <w:r>
        <w:t>现象：中央网信办在9月密集发布《数字乡村高质量发展行动计划(2026—2030年)》与《促进数字化绿色化协同转型发展实施方案(2026-2030年)》，均设定五年期目标。逻辑：这体现政策制定从年度部署转向中期规划，意图将数字乡村与双化转型纳入制度化轨道，同时为算力设施绿色化与数据要素下乡提供顶层依据。研判：地方将出现新一轮数字乡村与绿色算力项目申报潮，需警惕重复建设与数据孤岛问题，跨部门协调机制的有效性将成为落地关键。</w:t>
      </w:r>
    </w:p>
    <w:p>
      <w:r>
        <w:rPr>
          <w:b/>
          <w:color w:val="5B6DE4"/>
        </w:rPr>
        <w:t xml:space="preserve">④  </w:t>
      </w:r>
      <w:r>
        <w:t>现象：工信部等四部门7月印发《关于推动互联网基础资源高质量发展的指导意见》，中央网信办7月发布IPv6技术创新与融合应用实施方案(2026—2030年)。逻辑：互联网基础资源（域名、IP、标识）是算力网络与数据流通的底层支撑，政策意图通过IPv6规模部署为东数西算、数据跨境提供可寻址、可管理的网络底座。研判：IPv6单栈演进将加速，基础电信企业与云服务商需同步升级网络架构，标识解析体系与数据空间建设可能成为下一阶段政策重点。</w:t>
      </w:r>
    </w:p>
    <w:p>
      <w:r>
        <w:rPr>
          <w:b/>
          <w:color w:val="5B6DE4"/>
        </w:rPr>
        <w:t xml:space="preserve">⑤  </w:t>
      </w:r>
      <w:r>
        <w:t>现象：国家网信办7月发布《小型个人信息处理者个人信息保护简化措施规定》及数据出境安全管理政策问答，对中小主体设定简化合规义务。逻辑：这反映监管层意识到一刀切合规对中小企业负担过重，意图通过分级分类实现精准监管，同时以问答形式降低数据出境规则的不确定性。研判：中小企业的合规成本将有所下降，但简化不等于豁免，企业仍需完成基本告知与同意机制，数据出境标准合同的适用门槛可能进一步细化。</w:t>
      </w:r>
    </w:p>
    <w:p>
      <w:r>
        <w:rPr>
          <w:b/>
          <w:color w:val="5B6DE4"/>
        </w:rPr>
        <w:t xml:space="preserve">⑥  </w:t>
      </w:r>
      <w:r>
        <w:t>现象：中国以修改《网络安全法》新增AI条款、出台数据安全风险评估办法为主线推进治理；欧盟AI Act按风险分级分阶段实施并叠加GDPR数据保护框架；美国则延续NIST AI风险管理框架与行业性行政令路径，日本通过デジタル庁推动AI治理与数据流通并重。逻辑：三方均试图在AI创新与安全间取得平衡，但中国偏重法律层级统一立法与算力数据基础设施同步部署，欧盟偏重风险分级与基本权利保护，美国偏重行业自律与标准引导，日本偏重敏捷治理与跨境数据流动。研判：中国可借鉴欧盟风险分级思路细化AI分类监管，同时关注美国标准输出对全球AI供应链的影响，避免合规碎片化削弱企业国际竞争力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