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生成日期：2026-07-08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《工信部公布2026年1—5月电子信息制造业运行情况》</w:t>
      </w:r>
    </w:p>
    <w:p>
      <w:r>
        <w:rPr>
          <w:color w:val="646464"/>
          <w:sz w:val="20"/>
        </w:rPr>
        <w:t>文　　号：暂无</w:t>
        <w:br/>
        <w:t>发文机关：工业和信息化部</w:t>
        <w:br/>
        <w:t>发文日期：2026-06-30</w:t>
        <w:br/>
        <w:t>原文链接：https://www.miit.gov.cn/gyhxxhb/bld/jzl/index.html</w:t>
      </w:r>
    </w:p>
    <w:p>
      <w:pPr>
        <w:ind w:left="240"/>
      </w:pPr>
      <w:r>
        <w:t>发布电子信息制造业2026年前5个月经济运行数据。</w:t>
      </w:r>
    </w:p>
    <w:p>
      <w:pPr>
        <w:spacing w:before="0" w:after="80"/>
        <w:pBdr>
          <w:bottom w:val="single" w:sz="4" w:space="1" w:color="DDDDDD"/>
        </w:pBdr>
      </w:pPr>
    </w:p>
    <w:p>
      <w:r>
        <w:rPr>
          <w:b/>
          <w:sz w:val="24"/>
        </w:rPr>
        <w:t>《工信部公布2026年前5个月通信业经济运行情况》</w:t>
      </w:r>
    </w:p>
    <w:p>
      <w:r>
        <w:rPr>
          <w:color w:val="646464"/>
          <w:sz w:val="20"/>
        </w:rPr>
        <w:t>文　　号：暂无</w:t>
        <w:br/>
        <w:t>发文机关：工业和信息化部</w:t>
        <w:br/>
        <w:t>发文日期：2026-06-26</w:t>
        <w:br/>
        <w:t>原文链接：https://www.miit.gov.cn/gyhxxhb/bld/jzl/index.html</w:t>
      </w:r>
    </w:p>
    <w:p>
      <w:pPr>
        <w:ind w:left="240"/>
      </w:pPr>
      <w:r>
        <w:t>发布通信业2026年前5个月经济运行数据。</w:t>
      </w:r>
    </w:p>
    <w:p>
      <w:pPr>
        <w:spacing w:before="0" w:after="80"/>
        <w:pBdr>
          <w:bottom w:val="single" w:sz="4" w:space="1" w:color="DDDDDD"/>
        </w:pBdr>
      </w:pPr>
    </w:p>
    <w:p>
      <w:r>
        <w:rPr>
          <w:b/>
          <w:sz w:val="24"/>
        </w:rPr>
        <w:t>《工信部召开高质量行业数据集建设工作座谈会》</w:t>
      </w:r>
    </w:p>
    <w:p>
      <w:r>
        <w:rPr>
          <w:color w:val="646464"/>
          <w:sz w:val="20"/>
        </w:rPr>
        <w:t>文　　号：暂无</w:t>
        <w:br/>
        <w:t>发文机关：工业和信息化部</w:t>
        <w:br/>
        <w:t>发文日期：2026-05-18</w:t>
      </w:r>
    </w:p>
    <w:p>
      <w:pPr>
        <w:ind w:left="240"/>
      </w:pPr>
      <w:r>
        <w:t>研讨高质量行业数据集建设，推动人工智能与制造业融合。</w:t>
      </w:r>
    </w:p>
    <w:p>
      <w:pPr>
        <w:spacing w:before="0" w:after="80"/>
        <w:pBdr>
          <w:bottom w:val="single" w:sz="4" w:space="1" w:color="DDDDDD"/>
        </w:pBdr>
      </w:pPr>
    </w:p>
    <w:p>
      <w:r>
        <w:rPr>
          <w:b/>
          <w:sz w:val="24"/>
        </w:rPr>
        <w:t>《中国联通在京启动“双万兆AI提质行动”》</w:t>
      </w:r>
    </w:p>
    <w:p>
      <w:r>
        <w:rPr>
          <w:color w:val="646464"/>
          <w:sz w:val="20"/>
        </w:rPr>
        <w:t>文　　号：暂无</w:t>
        <w:br/>
        <w:t>发文机关：中国联通</w:t>
        <w:br/>
        <w:t>发文日期：2026-05-18</w:t>
      </w:r>
    </w:p>
    <w:p>
      <w:pPr>
        <w:ind w:left="240"/>
      </w:pPr>
      <w:r>
        <w:t>推进双万兆网络与AI融合，提升网络智能化水平。</w:t>
      </w:r>
    </w:p>
    <w:p>
      <w:pPr>
        <w:spacing w:before="0" w:after="80"/>
        <w:pBdr>
          <w:bottom w:val="single" w:sz="4" w:space="1" w:color="DDDDDD"/>
        </w:pBdr>
      </w:pPr>
    </w:p>
    <w:p>
      <w:r>
        <w:rPr>
          <w:b/>
          <w:sz w:val="24"/>
        </w:rPr>
        <w:t>《国家网信办等五部门联合公布《互联网信息内容多渠道分发服务管理规定》》</w:t>
      </w:r>
    </w:p>
    <w:p>
      <w:r>
        <w:rPr>
          <w:color w:val="646464"/>
          <w:sz w:val="20"/>
        </w:rPr>
        <w:t>文　　号：暂无</w:t>
        <w:br/>
        <w:t>发文机关：国家互联网信息办公室、国家发展改革委、工业和信息化部、公安部、市场监管总局</w:t>
        <w:br/>
        <w:t>发文日期：2026-06-18</w:t>
        <w:br/>
        <w:t>原文链接：https://www.cac.gov.cn/wxzw/wxfb/A093702index_1.htm</w:t>
      </w:r>
    </w:p>
    <w:p>
      <w:pPr>
        <w:ind w:left="240"/>
      </w:pPr>
      <w:r>
        <w:t>规范互联网信息内容多渠道分发服务，明确平台责任与内容管理要求。</w:t>
      </w:r>
    </w:p>
    <w:p>
      <w:pPr>
        <w:spacing w:before="0" w:after="80"/>
        <w:pBdr>
          <w:bottom w:val="single" w:sz="4" w:space="1" w:color="DDDDDD"/>
        </w:pBdr>
      </w:pPr>
    </w:p>
    <w:p>
      <w:r>
        <w:rPr>
          <w:b/>
          <w:sz w:val="24"/>
        </w:rPr>
        <w:t>《中央网信办等四部门印发《2026年提升全民数字素养与技能工作要点》》</w:t>
      </w:r>
    </w:p>
    <w:p>
      <w:r>
        <w:rPr>
          <w:color w:val="646464"/>
          <w:sz w:val="20"/>
        </w:rPr>
        <w:t>文　　号：暂无</w:t>
        <w:br/>
        <w:t>发文机关：中央网信办、教育部、工业和信息化部、人力资源社会保障部</w:t>
        <w:br/>
        <w:t>发文日期：2026-05-29</w:t>
        <w:br/>
        <w:t>原文链接：https://www.cac.gov.cn/wxzw/wxfb/A093702index_1.htm</w:t>
      </w:r>
    </w:p>
    <w:p>
      <w:pPr>
        <w:ind w:left="240"/>
      </w:pPr>
      <w:r>
        <w:t>部署2026年全民数字素养与技能提升重点任务，涵盖数字教育、技能培训等。</w:t>
      </w:r>
    </w:p>
    <w:p>
      <w:pPr>
        <w:spacing w:before="0" w:after="80"/>
        <w:pBdr>
          <w:bottom w:val="single" w:sz="4" w:space="1" w:color="DDDDDD"/>
        </w:pBdr>
      </w:pPr>
    </w:p>
    <w:p>
      <w:r>
        <w:rPr>
          <w:b/>
          <w:sz w:val="24"/>
        </w:rPr>
        <w:t>《工信部发布《促进平台经济大中小企业协同发展行动方案(2026—2028年)》》</w:t>
      </w:r>
    </w:p>
    <w:p>
      <w:r>
        <w:rPr>
          <w:color w:val="646464"/>
          <w:sz w:val="20"/>
        </w:rPr>
        <w:t>文　　号：暂无</w:t>
        <w:br/>
        <w:t>发文机关：工业和信息化部</w:t>
        <w:br/>
        <w:t>发文日期：2026-06-18</w:t>
        <w:br/>
        <w:t>原文链接：https://www.miit.gov.cn/xbymdz/zwgk/index.html</w:t>
      </w:r>
    </w:p>
    <w:p>
      <w:pPr>
        <w:ind w:left="240"/>
      </w:pPr>
      <w:r>
        <w:t>推动平台经济领域大中小企业融通发展，构建协同创新生态。</w:t>
      </w:r>
    </w:p>
    <w:p>
      <w:pPr>
        <w:spacing w:before="0" w:after="80"/>
        <w:pBdr>
          <w:bottom w:val="single" w:sz="4" w:space="1" w:color="DDDDDD"/>
        </w:pBdr>
      </w:pPr>
    </w:p>
    <w:p>
      <w:r>
        <w:rPr>
          <w:b/>
          <w:sz w:val="24"/>
        </w:rPr>
        <w:t>《国家网信办等五部门公布《人工智能拟人化互动服务管理暂行办法》》</w:t>
      </w:r>
    </w:p>
    <w:p>
      <w:r>
        <w:rPr>
          <w:color w:val="646464"/>
          <w:sz w:val="20"/>
        </w:rPr>
        <w:t>文　　号：国家网信办、国家发展改革委、工业和信息化部、公安部、市场监管总局令第21号</w:t>
        <w:br/>
        <w:t>发文机关：国家互联网信息办公室、国家发展改革委、工业和信息化部、公安部、市场监管总局</w:t>
        <w:br/>
        <w:t>发文日期：2026-04-10</w:t>
        <w:br/>
        <w:t>原文链接：https://www.gov.cn/gongbao/2026/issue_12806/202606/content_7072472.html</w:t>
      </w:r>
    </w:p>
    <w:p>
      <w:pPr>
        <w:ind w:left="240"/>
      </w:pPr>
      <w:r>
        <w:t>规范人工智能拟人化互动服务，明确服务提供者责任与用户权益保护。</w:t>
      </w:r>
    </w:p>
    <w:p>
      <w:pPr>
        <w:spacing w:before="0" w:after="80"/>
        <w:pBdr>
          <w:bottom w:val="single" w:sz="4" w:space="1" w:color="DDDDDD"/>
        </w:pBdr>
      </w:pPr>
    </w:p>
    <w:p>
      <w:r>
        <w:rPr>
          <w:b/>
          <w:sz w:val="24"/>
        </w:rPr>
        <w:t>《国家网信办等三部门公布《网络数据安全风险评估办法》》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规定重要数据每年风险评估，一般数据每三年一次，强化数据安全治理。</w:t>
      </w:r>
    </w:p>
    <w:p>
      <w:pPr>
        <w:spacing w:before="0" w:after="80"/>
        <w:pBdr>
          <w:bottom w:val="single" w:sz="4" w:space="1" w:color="DDDDDD"/>
        </w:pBdr>
      </w:pPr>
    </w:p>
    <w:p>
      <w:r>
        <w:rPr>
          <w:b/>
          <w:sz w:val="24"/>
        </w:rPr>
        <w:t>《上海市通信管理局开展“浦江护航”2026年电信和互联网行业数据安全专项行动》</w:t>
      </w:r>
    </w:p>
    <w:p>
      <w:r>
        <w:rPr>
          <w:color w:val="646464"/>
          <w:sz w:val="20"/>
        </w:rPr>
        <w:t>文　　号：暂无</w:t>
        <w:br/>
        <w:t>发文机关：上海市通信管理局</w:t>
        <w:br/>
        <w:t>发文日期：2026-05-29</w:t>
        <w:br/>
        <w:t>原文链接：https://shca.miit.gov.cn/zwgk/tzgg/art/2026/art_811e71b643704edfbfed53c3c05a1d7c.html</w:t>
      </w:r>
    </w:p>
    <w:p>
      <w:pPr>
        <w:ind w:left="240"/>
      </w:pPr>
      <w:r>
        <w:t>强化人工智能数据安全治理，防范大模型训练数据泄露等风险。</w:t>
      </w:r>
    </w:p>
    <w:p>
      <w:pPr>
        <w:spacing w:before="0" w:after="80"/>
        <w:pBdr>
          <w:bottom w:val="single" w:sz="4" w:space="1" w:color="DDDDDD"/>
        </w:pBdr>
      </w:pPr>
    </w:p>
    <w:p/>
    <w:p>
      <w:pPr>
        <w:pStyle w:val="Heading1"/>
      </w:pPr>
      <w:r>
        <w:rPr>
          <w:color w:val="5B6DE4"/>
          <w:sz w:val="28"/>
        </w:rPr>
        <w:t>三、今年以来主要政策</w:t>
      </w:r>
    </w:p>
    <w:p>
      <w:r>
        <w:rPr>
          <w:b/>
          <w:sz w:val="24"/>
        </w:rPr>
        <w:t>《工信部印发《推动工业互联网平台高质量发展行动方案(2026—2028年)》》</w:t>
      </w:r>
    </w:p>
    <w:p>
      <w:r>
        <w:rPr>
          <w:color w:val="646464"/>
          <w:sz w:val="20"/>
        </w:rPr>
        <w:t>文　　号：暂无</w:t>
        <w:br/>
        <w:t>发文机关：工业和信息化部</w:t>
        <w:br/>
        <w:t>发文日期：2026-01-13</w:t>
        <w:br/>
        <w:t>原文链接：https://wap.miit.gov.cn/jgsj/xxjsfzs/wjfb/</w:t>
      </w:r>
    </w:p>
    <w:p>
      <w:pPr>
        <w:ind w:left="240"/>
      </w:pPr>
      <w:r>
        <w:t>部署工业互联网平台高质量发展，明确三年行动目标。</w:t>
      </w:r>
    </w:p>
    <w:p>
      <w:pPr>
        <w:spacing w:before="0" w:after="80"/>
        <w:pBdr>
          <w:bottom w:val="single" w:sz="4" w:space="1" w:color="DDDDDD"/>
        </w:pBdr>
      </w:pPr>
    </w:p>
    <w:p>
      <w:r>
        <w:rPr>
          <w:b/>
          <w:sz w:val="24"/>
        </w:rPr>
        <w:t>《工信部公布数字赋能基层减负典型案例名单》</w:t>
      </w:r>
    </w:p>
    <w:p>
      <w:r>
        <w:rPr>
          <w:color w:val="646464"/>
          <w:sz w:val="20"/>
        </w:rPr>
        <w:t>文　　号：暂无</w:t>
        <w:br/>
        <w:t>发文机关：工业和信息化部</w:t>
        <w:br/>
        <w:t>发文日期：2026-02-24</w:t>
        <w:br/>
        <w:t>原文链接：https://wap.miit.gov.cn/jgsj/xxjsfzs/wjfb/</w:t>
      </w:r>
    </w:p>
    <w:p>
      <w:pPr>
        <w:ind w:left="240"/>
      </w:pPr>
      <w:r>
        <w:t>推广数字技术赋能基层减负的典型经验。</w:t>
      </w:r>
    </w:p>
    <w:p>
      <w:pPr>
        <w:spacing w:before="0" w:after="80"/>
        <w:pBdr>
          <w:bottom w:val="single" w:sz="4" w:space="1" w:color="DDDDDD"/>
        </w:pBdr>
      </w:pPr>
    </w:p>
    <w:p>
      <w:r>
        <w:rPr>
          <w:b/>
          <w:sz w:val="24"/>
        </w:rPr>
        <w:t>《专家解读《网络安全法》修改，应对人工智能治理安全挑战》</w:t>
      </w:r>
    </w:p>
    <w:p>
      <w:r>
        <w:rPr>
          <w:color w:val="646464"/>
          <w:sz w:val="20"/>
        </w:rPr>
        <w:t>文　　号：暂无</w:t>
        <w:br/>
        <w:t>发文机关：中央网络安全和信息化委员会办公室</w:t>
        <w:br/>
        <w:t>发文日期：2026-01-02</w:t>
        <w:br/>
        <w:t>原文链接：https://www.cac.gov.cn/2026-01/02/c_1769093523928606.htm</w:t>
      </w:r>
    </w:p>
    <w:p>
      <w:pPr>
        <w:ind w:left="240"/>
      </w:pPr>
      <w:r>
        <w:t>解读《网络安全法》修改，强化人工智能安全治理。</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加速：AI拟人化服务与数据安全风险评估双规并行）：2026年4月《人工智能拟人化互动服务管理暂行办法》与6月《网络数据安全风险评估办法》相继出台，标志着中国在AI应用和数据安全领域进入精细化监管阶段。前者针对AI拟人化服务（如虚拟主播、情感陪伴）设定准入门槛与内容责任，后者则建立分级评估机制，要求重要数据每年评估。这一组合拳表明监管思路从“原则性指导”转向“可操作、可执行”的制度设计，预计下半年将出现配套实施细则与执法案例，企业合规成本将显著上升。</w:t>
      </w:r>
    </w:p>
    <w:p>
      <w:r>
        <w:rPr>
          <w:b/>
          <w:color w:val="5B6DE4"/>
        </w:rPr>
        <w:t xml:space="preserve">②  </w:t>
      </w:r>
      <w:r>
        <w:t>趋势2（技术路线聚焦：大模型安全治理成为数据安全专项行动核心）：上海市通信管理局“浦江护航”2026年专项行动明确将“大模型及智能体全生命周期数据安全”列为重点，要求企业防范训练数据泄露、篡改等风险。这反映出地方监管机构已从宏观政策转向具体技术场景的穿透式监管。逻辑上，大模型训练数据来源复杂、合成内容难以追溯，传统数据安全框架难以覆盖。研判：其他省市可能跟进类似专项行动，推动形成全国性的大模型数据安全标准，尤其关注数据标注、合成环节的合规要求。</w:t>
      </w:r>
    </w:p>
    <w:p>
      <w:r>
        <w:rPr>
          <w:b/>
          <w:color w:val="5B6DE4"/>
        </w:rPr>
        <w:t xml:space="preserve">③  </w:t>
      </w:r>
      <w:r>
        <w:t>趋势3（区域格局分化：东部沿海聚焦AI赋能，中西部侧重算力基建）：上海、深圳、福州等地2026年政策集中于制造业智能化、工业互联网平台与数字化转型项目申报，强调AI对传统产业的赋能。而天津、贵阳、哈尔滨等地的政策则侧重算力基础设施布局，如天津提出“通用+智能+超算”一体化，贵阳建设算力调度平台。这一分化源于各地产业基础差异：东部制造业密集，需AI提升效率；中西部能源与土地优势明显，适合建设算力枢纽。预计“东数西算”工程将进一步强化这种分工，但需警惕算力过剩与需求错配风险。</w:t>
      </w:r>
    </w:p>
    <w:p>
      <w:r>
        <w:rPr>
          <w:b/>
          <w:color w:val="5B6DE4"/>
        </w:rPr>
        <w:t xml:space="preserve">④  </w:t>
      </w:r>
      <w:r>
        <w:t>趋势4（产业影响深化：平台经济与中小企业协同成为政策新着力点）：工信部2026年6月发布的《促进平台经济大中小企业协同发展行动方案(2026—2028年)》首次将“协同”作为平台经济政策核心，意图打破大型平台垄断数据与算法资源的格局。逻辑上，中小企业缺乏数据与算力，难以参与AI竞争，政策旨在通过开放平台能力、共享数据空间来降低门槛。研判：未来可能出现强制性数据共享或算法开源要求，平台企业需提前布局合规的开放接口与数据沙箱机制。</w:t>
      </w:r>
    </w:p>
    <w:p>
      <w:r>
        <w:rPr>
          <w:b/>
          <w:color w:val="5B6DE4"/>
        </w:rPr>
        <w:t xml:space="preserve">⑤  </w:t>
      </w:r>
      <w:r>
        <w:t>趋势5（安全合规升级：从被动防御到主动评估，数据安全风险评估常态化）：《网络数据安全风险评估办法》要求重要数据处理者每年评估，一般数据每三年一次，且评估结果需报送。这标志着数据安全从“事后处罚”转向“事前预防”的常态化管理。逻辑上，AI大模型训练涉及海量数据，一旦泄露后果严重，定期评估可提前发现风险。研判：第三方评估机构将迎来市场爆发，但需建立统一评估标准与资质认证体系，避免评估流于形式。企业应建立内部数据安全审计团队，应对年度评估压力。</w:t>
      </w:r>
    </w:p>
    <w:p>
      <w:r>
        <w:rPr>
          <w:b/>
          <w:color w:val="5B6DE4"/>
        </w:rPr>
        <w:t xml:space="preserve">⑥  </w:t>
      </w:r>
      <w:r>
        <w:t>趋势6（国际比较：中国AI监管侧重内容安全，欧盟聚焦风险分级，美国依赖行业自律）：中国2026年出台的《人工智能拟人化互动服务管理暂行办法》强调内容审核与用户保护，延续了网信办对信息内容的强监管传统。欧盟《AI Act》则采用风险分级（不可接受风险、高风险、有限风险、极低风险），更注重系统性风险防控。美国至今未出台联邦层面AI综合法案，仍依赖行业自愿承诺与现有法律（如FTC的消费者保护）。对比可见，中国监管最直接、最具体，但可能抑制创新；欧盟制度最系统，但执行复杂；美国最灵活，但存在监管真空。研判：中国可能在2027年借鉴欧盟风险分级思路，对AI应用进行分层管理，同时加强与国际标准互认，以缓解企业出海合规压力。</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