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生成日期：2026-09-29　　数据 · 算力 · 信息化</w:t>
      </w:r>
    </w:p>
    <w:p/>
    <w:p>
      <w:pPr>
        <w:pStyle w:val="Heading1"/>
      </w:pPr>
      <w:r>
        <w:rPr>
          <w:color w:val="5B6DE4"/>
          <w:sz w:val="28"/>
        </w:rPr>
        <w:t>一、过去 24 小时关键政策</w:t>
      </w:r>
    </w:p>
    <w:p/>
    <w:p>
      <w:pPr>
        <w:pStyle w:val="Heading1"/>
      </w:pPr>
      <w:r>
        <w:rPr>
          <w:color w:val="5B6DE4"/>
          <w:sz w:val="28"/>
        </w:rPr>
        <w:t>二、过去一个月主要政策动向</w:t>
      </w:r>
    </w:p>
    <w:p>
      <w:r>
        <w:rPr>
          <w:b/>
          <w:sz w:val="24"/>
        </w:rPr>
        <w:t>《坚定不移贯彻总体国家安全观》</w:t>
      </w:r>
    </w:p>
    <w:p>
      <w:r>
        <w:rPr>
          <w:color w:val="646464"/>
          <w:sz w:val="20"/>
        </w:rPr>
        <w:t>文　　号：暂无</w:t>
        <w:br/>
        <w:t>发文机关：中央网络安全和信息化委员会办公室</w:t>
        <w:br/>
        <w:t>发文日期：2026-09-15</w:t>
        <w:br/>
        <w:t>原文链接：https://www.cac.gov.cn/</w:t>
      </w:r>
    </w:p>
    <w:p>
      <w:pPr>
        <w:ind w:left="240"/>
      </w:pPr>
      <w:r>
        <w:t>强调网络安全与数据安全在总体国家安全观中的基础性地位。</w:t>
      </w:r>
    </w:p>
    <w:p>
      <w:pPr>
        <w:spacing w:before="0" w:after="80"/>
        <w:pBdr>
          <w:bottom w:val="single" w:sz="4" w:space="1" w:color="DDDDDD"/>
        </w:pBdr>
      </w:pPr>
    </w:p>
    <w:p>
      <w:r>
        <w:rPr>
          <w:b/>
          <w:sz w:val="24"/>
        </w:rPr>
        <w:t>《2026年国家网络安全宣传周》</w:t>
      </w:r>
    </w:p>
    <w:p>
      <w:r>
        <w:rPr>
          <w:color w:val="646464"/>
          <w:sz w:val="20"/>
        </w:rPr>
        <w:t>文　　号：暂无</w:t>
        <w:br/>
        <w:t>发文机关：中央网络安全和信息化委员会办公室等</w:t>
        <w:br/>
        <w:t>发文日期：2026-09-14</w:t>
        <w:br/>
        <w:t>原文链接：https://www.chinasme.org.cn/html/mcms/daohang/tongzhigonggao/2099775109720809474.html</w:t>
      </w:r>
    </w:p>
    <w:p>
      <w:pPr>
        <w:ind w:left="240"/>
      </w:pPr>
      <w:r>
        <w:t>以“智能时代 网安护航”为主题，全国开展网络安全宣传与普法。</w:t>
      </w:r>
    </w:p>
    <w:p>
      <w:pPr>
        <w:spacing w:before="0" w:after="80"/>
        <w:pBdr>
          <w:bottom w:val="single" w:sz="4" w:space="1" w:color="DDDDDD"/>
        </w:pBdr>
      </w:pPr>
    </w:p>
    <w:p>
      <w:r>
        <w:rPr>
          <w:b/>
          <w:sz w:val="24"/>
        </w:rPr>
        <w:t>《数字化绿色化协同转型发展政策解读》</w:t>
      </w:r>
    </w:p>
    <w:p>
      <w:r>
        <w:rPr>
          <w:color w:val="646464"/>
          <w:sz w:val="20"/>
        </w:rPr>
        <w:t>文　　号：暂无</w:t>
        <w:br/>
        <w:t>发文机关：中央网络安全和信息化委员会办公室</w:t>
        <w:br/>
        <w:t>发文日期：2026-09-04</w:t>
        <w:br/>
        <w:t>原文链接：https://www.cac.gov.cn/wxzw/zcfg/A093703index_1.htm</w:t>
      </w:r>
    </w:p>
    <w:p>
      <w:pPr>
        <w:ind w:left="240"/>
      </w:pPr>
      <w:r>
        <w:t>解读双化协同转型，推动数字基础设施与绿色低碳融合发展。</w:t>
      </w:r>
    </w:p>
    <w:p>
      <w:pPr>
        <w:spacing w:before="0" w:after="80"/>
        <w:pBdr>
          <w:bottom w:val="single" w:sz="4" w:space="1" w:color="DDDDDD"/>
        </w:pBdr>
      </w:pPr>
    </w:p>
    <w:p>
      <w:r>
        <w:rPr>
          <w:b/>
          <w:sz w:val="24"/>
        </w:rPr>
        <w:t>《“人工智能+人社”应用发展实施意见》</w:t>
      </w:r>
    </w:p>
    <w:p>
      <w:r>
        <w:rPr>
          <w:color w:val="646464"/>
          <w:sz w:val="20"/>
        </w:rPr>
        <w:t>文　　号：暂无</w:t>
        <w:br/>
        <w:t>发文机关：人力资源和社会保障部</w:t>
        <w:br/>
        <w:t>发文日期：2026-08-30</w:t>
        <w:br/>
        <w:t>原文链接：https://www.comnews.cn/node_393.html</w:t>
      </w:r>
    </w:p>
    <w:p>
      <w:pPr>
        <w:ind w:left="240"/>
      </w:pPr>
      <w:r>
        <w:t>推动AI在就业、社保、人才服务等场景应用，明确数据安全要求。</w:t>
      </w:r>
    </w:p>
    <w:p>
      <w:pPr>
        <w:spacing w:before="0" w:after="80"/>
        <w:pBdr>
          <w:bottom w:val="single" w:sz="4" w:space="1" w:color="DDDDDD"/>
        </w:pBdr>
      </w:pPr>
    </w:p>
    <w:p>
      <w:r>
        <w:rPr>
          <w:b/>
          <w:sz w:val="24"/>
        </w:rPr>
        <w:t>《数字乡村高质量发展行动计划（2026—2030年）》</w:t>
      </w:r>
    </w:p>
    <w:p>
      <w:r>
        <w:rPr>
          <w:color w:val="646464"/>
          <w:sz w:val="20"/>
        </w:rPr>
        <w:t>文　　号：暂无</w:t>
        <w:br/>
        <w:t>发文机关：中央网络安全和信息化委员会办公室等</w:t>
        <w:br/>
        <w:t>发文日期：2026-09-11</w:t>
        <w:br/>
        <w:t>原文链接：https://www.cac.gov.cn/wxzw/zcfg/A093703index_1.htm</w:t>
      </w:r>
    </w:p>
    <w:p>
      <w:pPr>
        <w:ind w:left="240"/>
      </w:pPr>
      <w:r>
        <w:t>部署数字乡村基础设施、数据要素与数字治理，明确五年发展路径。</w:t>
      </w:r>
    </w:p>
    <w:p>
      <w:pPr>
        <w:spacing w:before="0" w:after="80"/>
        <w:pBdr>
          <w:bottom w:val="single" w:sz="4" w:space="1" w:color="DDDDDD"/>
        </w:pBdr>
      </w:pPr>
    </w:p>
    <w:p>
      <w:r>
        <w:rPr>
          <w:b/>
          <w:sz w:val="24"/>
        </w:rPr>
        <w:t>《“人工智能+软件”专项行动实施方案》</w:t>
      </w:r>
    </w:p>
    <w:p>
      <w:r>
        <w:rPr>
          <w:color w:val="646464"/>
          <w:sz w:val="20"/>
        </w:rPr>
        <w:t>文　　号：工信部信发〔2026〕209号</w:t>
        <w:br/>
        <w:t>发文机关：工业和信息化部</w:t>
        <w:br/>
        <w:t>发文日期：2026-09-02</w:t>
        <w:br/>
        <w:t>原文链接：https://www.miit.gov.cn/zwgk/zcwj/</w:t>
      </w:r>
    </w:p>
    <w:p>
      <w:pPr>
        <w:ind w:left="240"/>
      </w:pPr>
      <w:r>
        <w:t>推动AI与软件全链条融合，部署智能编程、模型工具链等任务。</w:t>
      </w:r>
    </w:p>
    <w:p>
      <w:pPr>
        <w:spacing w:before="0" w:after="80"/>
        <w:pBdr>
          <w:bottom w:val="single" w:sz="4" w:space="1" w:color="DDDDDD"/>
        </w:pBdr>
      </w:pPr>
    </w:p>
    <w:p>
      <w:r>
        <w:rPr>
          <w:b/>
          <w:sz w:val="24"/>
        </w:rPr>
        <w:t>《网络数据安全风险评估办法》</w:t>
      </w:r>
    </w:p>
    <w:p>
      <w:r>
        <w:rPr>
          <w:color w:val="646464"/>
          <w:sz w:val="20"/>
        </w:rPr>
        <w:t>文　　号：暂无</w:t>
        <w:br/>
        <w:t>发文机关：国家互联网信息办公室</w:t>
        <w:br/>
        <w:t>发文日期：2026-08-20</w:t>
        <w:br/>
        <w:t>原文链接：https://www.cac.gov.cn/</w:t>
      </w:r>
    </w:p>
    <w:p>
      <w:pPr>
        <w:ind w:left="240"/>
      </w:pPr>
      <w:r>
        <w:t>建立网络数据安全风险评估制度，明确评估主体、流程与认证机构。</w:t>
      </w:r>
    </w:p>
    <w:p>
      <w:pPr>
        <w:spacing w:before="0" w:after="80"/>
        <w:pBdr>
          <w:bottom w:val="single" w:sz="4" w:space="1" w:color="DDDDDD"/>
        </w:pBdr>
      </w:pPr>
    </w:p>
    <w:p>
      <w:r>
        <w:rPr>
          <w:b/>
          <w:sz w:val="24"/>
        </w:rPr>
        <w:t>《大型个人信息处理者个人信息保护规定（征求意见稿）》</w:t>
      </w:r>
    </w:p>
    <w:p>
      <w:r>
        <w:rPr>
          <w:color w:val="646464"/>
          <w:sz w:val="20"/>
        </w:rPr>
        <w:t>文　　号：暂无</w:t>
        <w:br/>
        <w:t>发文机关：国家互联网信息办公室</w:t>
        <w:br/>
        <w:t>发文日期：2026-08-07</w:t>
        <w:br/>
        <w:t>原文链接：https://www.cac.gov.cn/wxzw/sjzl/A093708index_1.htm</w:t>
      </w:r>
    </w:p>
    <w:p>
      <w:pPr>
        <w:ind w:left="240"/>
      </w:pPr>
      <w:r>
        <w:t>拟对大型个人信息处理者设专门合规义务，强化外部监督与审计。</w:t>
      </w:r>
    </w:p>
    <w:p>
      <w:pPr>
        <w:spacing w:before="0" w:after="80"/>
        <w:pBdr>
          <w:bottom w:val="single" w:sz="4" w:space="1" w:color="DDDDDD"/>
        </w:pBdr>
      </w:pPr>
    </w:p>
    <w:p>
      <w:r>
        <w:rPr>
          <w:b/>
          <w:sz w:val="24"/>
        </w:rPr>
        <w:t>《2026年个人信息保护系列专项行动》</w:t>
      </w:r>
    </w:p>
    <w:p>
      <w:r>
        <w:rPr>
          <w:color w:val="646464"/>
          <w:sz w:val="20"/>
        </w:rPr>
        <w:t>文　　号：暂无</w:t>
        <w:br/>
        <w:t>发文机关：中央网络安全和信息化委员会办公室</w:t>
        <w:br/>
        <w:t>发文日期：2026-08-19</w:t>
        <w:br/>
        <w:t>原文链接：https://www.cac.gov.cn/wxzw/sjzl/A093708index_1.htm</w:t>
      </w:r>
    </w:p>
    <w:p>
      <w:pPr>
        <w:ind w:left="240"/>
      </w:pPr>
      <w:r>
        <w:t>通报个人信息保护专项行动阶段性成效，聚焦App与SDK违规采集。</w:t>
      </w:r>
    </w:p>
    <w:p>
      <w:pPr>
        <w:spacing w:before="0" w:after="80"/>
        <w:pBdr>
          <w:bottom w:val="single" w:sz="4" w:space="1" w:color="DDDDDD"/>
        </w:pBdr>
      </w:pPr>
    </w:p>
    <w:p>
      <w:r>
        <w:rPr>
          <w:b/>
          <w:sz w:val="24"/>
        </w:rPr>
        <w:t>《盐城市加快推进“人工智能+”行动2026年工作要点》</w:t>
      </w:r>
    </w:p>
    <w:p>
      <w:r>
        <w:rPr>
          <w:color w:val="646464"/>
          <w:sz w:val="20"/>
        </w:rPr>
        <w:t>文　　号：暂无</w:t>
        <w:br/>
        <w:t>发文机关：盐城市人民政府办公室</w:t>
        <w:br/>
        <w:t>发文日期：2026-06-18</w:t>
        <w:br/>
        <w:t>原文链接：http://www.yancheng.gov.cn/art/2026/7/24/art_56140_21064.html</w:t>
      </w:r>
    </w:p>
    <w:p>
      <w:pPr>
        <w:ind w:left="240"/>
      </w:pPr>
      <w:r>
        <w:t>从产业集聚、场景赋能、生态优化等部署AI赋能千行百业年度任务。</w:t>
      </w:r>
    </w:p>
    <w:p>
      <w:pPr>
        <w:spacing w:before="0" w:after="80"/>
        <w:pBdr>
          <w:bottom w:val="single" w:sz="4" w:space="1" w:color="DDDDDD"/>
        </w:pBdr>
      </w:pPr>
    </w:p>
    <w:p>
      <w:r>
        <w:rPr>
          <w:b/>
          <w:sz w:val="24"/>
        </w:rPr>
        <w:t>《苏州市人工智能算力补贴政策》</w:t>
      </w:r>
    </w:p>
    <w:p>
      <w:r>
        <w:rPr>
          <w:color w:val="646464"/>
          <w:sz w:val="20"/>
        </w:rPr>
        <w:t>文　　号：暂无</w:t>
        <w:br/>
        <w:t>发文机关：苏州市数据局</w:t>
        <w:br/>
        <w:t>发文日期：2026-05-01</w:t>
        <w:br/>
        <w:t>原文链接：https://sst.suzhou.gov.cn/appx/zcfw/zhengceku/policy?id=38426</w:t>
      </w:r>
    </w:p>
    <w:p>
      <w:pPr>
        <w:ind w:left="240"/>
      </w:pPr>
      <w:r>
        <w:t>对智算算力使用方按租用费30%补贴，每年最高200万元，促算力普惠。</w:t>
      </w:r>
    </w:p>
    <w:p>
      <w:pPr>
        <w:spacing w:before="0" w:after="80"/>
        <w:pBdr>
          <w:bottom w:val="single" w:sz="4" w:space="1" w:color="DDDDDD"/>
        </w:pBdr>
      </w:pPr>
    </w:p>
    <w:p/>
    <w:p>
      <w:pPr>
        <w:pStyle w:val="Heading1"/>
      </w:pPr>
      <w:r>
        <w:rPr>
          <w:color w:val="5B6DE4"/>
          <w:sz w:val="28"/>
        </w:rPr>
        <w:t>三、今年以来主要政策</w:t>
      </w:r>
    </w:p>
    <w:p>
      <w:r>
        <w:rPr>
          <w:b/>
          <w:sz w:val="24"/>
        </w:rPr>
        <w:t>《关于深入实施“人工智能+”行动的意见》</w:t>
      </w:r>
    </w:p>
    <w:p>
      <w:r>
        <w:rPr>
          <w:color w:val="646464"/>
          <w:sz w:val="20"/>
        </w:rPr>
        <w:t>文　　号：国发〔2026〕11号</w:t>
        <w:br/>
        <w:t>发文机关：国务院</w:t>
        <w:br/>
        <w:t>发文日期：2026-03-15</w:t>
      </w:r>
    </w:p>
    <w:p>
      <w:pPr>
        <w:ind w:left="240"/>
      </w:pPr>
      <w:r>
        <w:t>部署AI与制造、消费、治理深度融合，明确算力、数据、场景支撑。</w:t>
      </w:r>
    </w:p>
    <w:p>
      <w:pPr>
        <w:spacing w:before="0" w:after="80"/>
        <w:pBdr>
          <w:bottom w:val="single" w:sz="4" w:space="1" w:color="DDDDDD"/>
        </w:pBdr>
      </w:pPr>
    </w:p>
    <w:p>
      <w:r>
        <w:rPr>
          <w:b/>
          <w:sz w:val="24"/>
        </w:rPr>
        <w:t>《关于加快公共数据资源开发利用的意见》</w:t>
      </w:r>
    </w:p>
    <w:p>
      <w:r>
        <w:rPr>
          <w:color w:val="646464"/>
          <w:sz w:val="20"/>
        </w:rPr>
        <w:t>文　　号：暂无</w:t>
        <w:br/>
        <w:t>发文机关：中共中央办公厅、国务院办公厅</w:t>
        <w:br/>
        <w:t>发文日期：2026-01-10</w:t>
      </w:r>
    </w:p>
    <w:p>
      <w:pPr>
        <w:ind w:left="240"/>
      </w:pPr>
      <w:r>
        <w:t>推动公共数据授权运营、场景开放与收益分配，培育数据要素市场。</w:t>
      </w:r>
    </w:p>
    <w:p>
      <w:pPr>
        <w:spacing w:before="0" w:after="80"/>
        <w:pBdr>
          <w:bottom w:val="single" w:sz="4" w:space="1" w:color="DDDDDD"/>
        </w:pBdr>
      </w:pPr>
    </w:p>
    <w:p>
      <w:r>
        <w:rPr>
          <w:b/>
          <w:sz w:val="24"/>
        </w:rPr>
        <w:t>《“东数西算”工程算力枢纽节点建设指引》</w:t>
      </w:r>
    </w:p>
    <w:p>
      <w:r>
        <w:rPr>
          <w:color w:val="646464"/>
          <w:sz w:val="20"/>
        </w:rPr>
        <w:t>文　　号：暂无</w:t>
        <w:br/>
        <w:t>发文机关：国家发展改革委、国家数据局等</w:t>
        <w:br/>
        <w:t>发文日期：2026-04-20</w:t>
      </w:r>
    </w:p>
    <w:p>
      <w:pPr>
        <w:ind w:left="240"/>
      </w:pPr>
      <w:r>
        <w:t>优化八大枢纽算力布局，推动绿色低碳与算网协同调度。</w:t>
      </w:r>
    </w:p>
    <w:p>
      <w:pPr>
        <w:spacing w:before="0" w:after="80"/>
        <w:pBdr>
          <w:bottom w:val="single" w:sz="4" w:space="1" w:color="DDDDDD"/>
        </w:pBdr>
      </w:pPr>
    </w:p>
    <w:p>
      <w:r>
        <w:rPr>
          <w:b/>
          <w:sz w:val="24"/>
        </w:rPr>
        <w:t>《上海市数据条例》</w:t>
      </w:r>
    </w:p>
    <w:p>
      <w:r>
        <w:rPr>
          <w:color w:val="646464"/>
          <w:sz w:val="20"/>
        </w:rPr>
        <w:t>文　　号：暂无</w:t>
        <w:br/>
        <w:t>发文机关：上海市人民代表大会常务委员会</w:t>
        <w:br/>
        <w:t>发文日期：2026-05-01</w:t>
      </w:r>
    </w:p>
    <w:p>
      <w:pPr>
        <w:ind w:left="240"/>
      </w:pPr>
      <w:r>
        <w:t>规范数据权益、流通交易与跨境流动，建设国际数据港。</w:t>
      </w:r>
    </w:p>
    <w:p>
      <w:pPr>
        <w:spacing w:before="0" w:after="80"/>
        <w:pBdr>
          <w:bottom w:val="single" w:sz="4" w:space="1" w:color="DDDDDD"/>
        </w:pBdr>
      </w:pPr>
    </w:p>
    <w:p>
      <w:r>
        <w:rPr>
          <w:b/>
          <w:sz w:val="24"/>
        </w:rPr>
        <w:t>《广东省数字经济促进条例》</w:t>
      </w:r>
    </w:p>
    <w:p>
      <w:r>
        <w:rPr>
          <w:color w:val="646464"/>
          <w:sz w:val="20"/>
        </w:rPr>
        <w:t>文　　号：暂无</w:t>
        <w:br/>
        <w:t>发文机关：广东省人民代表大会常务委员会</w:t>
        <w:br/>
        <w:t>发文日期：2026-06-01</w:t>
      </w:r>
    </w:p>
    <w:p>
      <w:pPr>
        <w:ind w:left="240"/>
      </w:pPr>
      <w:r>
        <w:t>促进数据要素市场化配置，支持工业互联网与平台经济规范发展。</w:t>
      </w:r>
    </w:p>
    <w:p>
      <w:pPr>
        <w:spacing w:before="0" w:after="80"/>
        <w:pBdr>
          <w:bottom w:val="single" w:sz="4" w:space="1" w:color="DDDDDD"/>
        </w:pBdr>
      </w:pPr>
    </w:p>
    <w:p>
      <w:r>
        <w:rPr>
          <w:b/>
          <w:sz w:val="24"/>
        </w:rPr>
        <w:t>《浙江省公共数据授权运营管理办法》</w:t>
      </w:r>
    </w:p>
    <w:p>
      <w:r>
        <w:rPr>
          <w:color w:val="646464"/>
          <w:sz w:val="20"/>
        </w:rPr>
        <w:t>文　　号：暂无</w:t>
        <w:br/>
        <w:t>发文机关：浙江省人民政府</w:t>
        <w:br/>
        <w:t>发文日期：2026-03-01</w:t>
      </w:r>
    </w:p>
    <w:p>
      <w:pPr>
        <w:ind w:left="240"/>
      </w:pPr>
      <w:r>
        <w:t>明确公共数据授权运营主体、定价与安全监管机制。</w:t>
      </w:r>
    </w:p>
    <w:p>
      <w:pPr>
        <w:spacing w:before="0" w:after="80"/>
        <w:pBdr>
          <w:bottom w:val="single" w:sz="4" w:space="1" w:color="DDDDDD"/>
        </w:pBdr>
      </w:pPr>
    </w:p>
    <w:p>
      <w:r>
        <w:rPr>
          <w:b/>
          <w:sz w:val="24"/>
        </w:rPr>
        <w:t>《辽宁省数字经济发展三年行动方案》</w:t>
      </w:r>
    </w:p>
    <w:p>
      <w:r>
        <w:rPr>
          <w:color w:val="646464"/>
          <w:sz w:val="20"/>
        </w:rPr>
        <w:t>文　　号：暂无</w:t>
        <w:br/>
        <w:t>发文机关：辽宁省人民政府</w:t>
        <w:br/>
        <w:t>发文日期：2026-02-10</w:t>
      </w:r>
    </w:p>
    <w:p>
      <w:pPr>
        <w:ind w:left="240"/>
      </w:pPr>
      <w:r>
        <w:t>布局智能算力与工业互联网，推动老工业基地数字化转型。</w:t>
      </w:r>
    </w:p>
    <w:p>
      <w:pPr>
        <w:spacing w:before="0" w:after="80"/>
        <w:pBdr>
          <w:bottom w:val="single" w:sz="4" w:space="1" w:color="DDDDDD"/>
        </w:pBdr>
      </w:pPr>
    </w:p>
    <w:p>
      <w:r>
        <w:rPr>
          <w:b/>
          <w:sz w:val="24"/>
        </w:rPr>
        <w:t>《日本人工智能推进法》</w:t>
      </w:r>
    </w:p>
    <w:p>
      <w:r>
        <w:rPr>
          <w:color w:val="646464"/>
          <w:sz w:val="20"/>
        </w:rPr>
        <w:t>文　　号：暂无</w:t>
        <w:br/>
        <w:t>发文机关：日本内阁府</w:t>
        <w:br/>
        <w:t>发文日期：2026-04-01</w:t>
      </w:r>
    </w:p>
    <w:p>
      <w:pPr>
        <w:ind w:left="240"/>
      </w:pPr>
      <w:r>
        <w:t>以创新促进为主、轻监管为辅，设立AI基本计划与治理框架。</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现象：工信部9月2日印发《“人工智能+软件”专项行动实施方案》（工信部信发〔2026〕209号），将AI与软件全链条融合列为专项。逻辑：在国务院“人工智能+”行动框架下，部委选择软件这一渗透性最强的行业率先落地，意图以智能编程、模型工具链降低全社会数字化门槛，形成“AI改造软件、软件承载AI”的双向循环。研判：后续可能向工业软件、基础软件延伸配套标准与评测，中小企业采购AI开发工具的补贴政策值得关注，但需警惕低水平重复建设与开源合规风险。</w:t>
      </w:r>
    </w:p>
    <w:p>
      <w:r>
        <w:rPr>
          <w:b/>
          <w:color w:val="5B6DE4"/>
        </w:rPr>
        <w:t xml:space="preserve">②  </w:t>
      </w:r>
      <w:r>
        <w:t>现象：国家网信办8月20日施行《网络数据安全风险评估办法》，并明确数据与技术保障中心、公安部三所、泰尔认证中心等认证机构。逻辑：数据安全监管正从“事后处罚”转向“事前评估+第三方认证”的制度化轨道，为数据要素流通提供可预期的合规基线。研判：评估结果可能与企业上市、数据出境、政府采购挂钩，第三方认证市场将快速扩容；但评估标准统一性与中小企业合规成本问题或成下一阶段政策调整焦点。</w:t>
      </w:r>
    </w:p>
    <w:p>
      <w:r>
        <w:rPr>
          <w:b/>
          <w:color w:val="5B6DE4"/>
        </w:rPr>
        <w:t xml:space="preserve">③  </w:t>
      </w:r>
      <w:r>
        <w:t>现象：网信办9月11日发布《数字乡村高质量发展行动计划（2026—2030年）》，同期开展数字化绿色化协同转型解读。逻辑：数字中国建设从城市与工业主战场向乡村和绿色领域延伸，体现“数字+双碳”融合的制度设计，意在用数据要素激活农业农村与能源转型。研判：县域数字基础设施、农业数据确权与碳数据核算或成投资热点，但乡村数据采集能力弱、运营主体缺位，政策落地需配套财政与人才机制。</w:t>
      </w:r>
    </w:p>
    <w:p>
      <w:r>
        <w:rPr>
          <w:b/>
          <w:color w:val="5B6DE4"/>
        </w:rPr>
        <w:t xml:space="preserve">④  </w:t>
      </w:r>
      <w:r>
        <w:t>现象：苏州对智算算力使用方按租用费30%补贴、每年最高200万元，天津统筹通用智能超级算力一体化布局，地方算力政策密集出台。逻辑：在“东数西算”国家枢纽框架下，地方以补贴争夺算力使用方与AI企业，实质是围绕算力这一新型生产要素展开区域竞争。研判：算力补贴可能引发区域间“内卷式”竞争，国家层面或出台算力调度与补贴规范；智算中心利用率与绿色能耗指标将成为考核重点。</w:t>
      </w:r>
    </w:p>
    <w:p>
      <w:r>
        <w:rPr>
          <w:b/>
          <w:color w:val="5B6DE4"/>
        </w:rPr>
        <w:t xml:space="preserve">⑤  </w:t>
      </w:r>
      <w:r>
        <w:t>现象：新修改的网络安全法2026年1月1日施行，大型个人信息处理者规定8月征求意见，未成年人网络平台认定办法2月出台。逻辑：安全合规体系正从通用规则走向主体分级、场景细分，大型平台与特殊群体保护成为监管重心，体现“抓大放小、精准治理”思路。研判：大型平台合规成本上升，可能推动其将数据治理能力对外输出为服务；跨境数据流动与AI训练数据合规将是下一轮立法焦点。</w:t>
      </w:r>
    </w:p>
    <w:p>
      <w:r>
        <w:rPr>
          <w:b/>
          <w:color w:val="5B6DE4"/>
        </w:rPr>
        <w:t xml:space="preserve">⑥  </w:t>
      </w:r>
      <w:r>
        <w:t>现象：欧盟AI Act按风险分级并于2026年分阶段实施，美国以NSM-25要求前沿AI开发者报告安全测试，日本2026年4月施行以创新促进为主的AI推进法。逻辑：美欧日分别代表“安全优先”“创新优先”“轻监管促发展”三种治理范式，中国则以备案制+专项行动+标准体系走中间路线。研判：三种范式的竞争将影响全球AI产业链布局，中国需在标准互认、跨境数据流动上争取制度性话语权，同时避免合规碎片化削弱企业国际竞争力。</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