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生成日期：2026-08-14　　数据 · 算力 · 信息化</w:t>
      </w:r>
    </w:p>
    <w:p/>
    <w:p>
      <w:pPr>
        <w:pStyle w:val="Heading1"/>
      </w:pPr>
      <w:r>
        <w:rPr>
          <w:color w:val="5B6DE4"/>
          <w:sz w:val="28"/>
        </w:rPr>
        <w:t>一、过去 24 小时关键政策</w:t>
      </w:r>
    </w:p>
    <w:p/>
    <w:p>
      <w:pPr>
        <w:pStyle w:val="Heading1"/>
      </w:pPr>
      <w:r>
        <w:rPr>
          <w:color w:val="5B6DE4"/>
          <w:sz w:val="28"/>
        </w:rPr>
        <w:t>二、过去一个月主要政策动向</w:t>
      </w:r>
    </w:p>
    <w:p>
      <w:r>
        <w:rPr>
          <w:b/>
          <w:sz w:val="24"/>
        </w:rPr>
        <w:t>《专家解读建立健全数据安全风险评估制度筑牢国家数据安全屏障》</w:t>
      </w:r>
    </w:p>
    <w:p>
      <w:r>
        <w:rPr>
          <w:color w:val="646464"/>
          <w:sz w:val="20"/>
        </w:rPr>
        <w:t>文　　号：暂无</w:t>
        <w:br/>
        <w:t>发文机关：中央网络安全和信息化委员会办公室</w:t>
        <w:br/>
        <w:t>发文日期：2026-07-03</w:t>
        <w:br/>
        <w:t>原文链接：https://www.cac.gov.cn/wxzw/zcfg/A093703index_1.htm</w:t>
      </w:r>
    </w:p>
    <w:p>
      <w:pPr>
        <w:ind w:left="240"/>
      </w:pPr>
      <w:r>
        <w:t>专家解读数据安全风险评估制度，强调筑牢国家数据安全屏障。</w:t>
      </w:r>
    </w:p>
    <w:p>
      <w:pPr>
        <w:spacing w:before="0" w:after="80"/>
        <w:pBdr>
          <w:bottom w:val="single" w:sz="4" w:space="1" w:color="DDDDDD"/>
        </w:pBdr>
      </w:pPr>
    </w:p>
    <w:p>
      <w:r>
        <w:rPr>
          <w:b/>
          <w:sz w:val="24"/>
        </w:rPr>
        <w:t>《专家解读高质量开展网络数据安全风险评估推动网络数据安全治理长效发展》</w:t>
      </w:r>
    </w:p>
    <w:p>
      <w:r>
        <w:rPr>
          <w:color w:val="646464"/>
          <w:sz w:val="20"/>
        </w:rPr>
        <w:t>文　　号：暂无</w:t>
        <w:br/>
        <w:t>发文机关：中央网络安全和信息化委员会办公室</w:t>
        <w:br/>
        <w:t>发文日期：2026-06-18</w:t>
        <w:br/>
        <w:t>原文链接：https://www.cac.gov.cn/wxzw/zcfg/A093703index_1.htm</w:t>
      </w:r>
    </w:p>
    <w:p>
      <w:pPr>
        <w:ind w:left="240"/>
      </w:pPr>
      <w:r>
        <w:t>专家解读网络数据安全风险评估，推动治理长效发展。</w:t>
      </w:r>
    </w:p>
    <w:p>
      <w:pPr>
        <w:spacing w:before="0" w:after="80"/>
        <w:pBdr>
          <w:bottom w:val="single" w:sz="4" w:space="1" w:color="DDDDDD"/>
        </w:pBdr>
      </w:pPr>
    </w:p>
    <w:p/>
    <w:p>
      <w:pPr>
        <w:pStyle w:val="Heading1"/>
      </w:pPr>
      <w:r>
        <w:rPr>
          <w:color w:val="5B6DE4"/>
          <w:sz w:val="28"/>
        </w:rPr>
        <w:t>三、今年以来主要政策</w:t>
      </w:r>
    </w:p>
    <w:p>
      <w:r>
        <w:rPr>
          <w:b/>
          <w:sz w:val="24"/>
        </w:rPr>
        <w:t>《工业和信息化部等八部门关于印发《汽车数据出境安全指引(2026年)》》</w:t>
      </w:r>
    </w:p>
    <w:p>
      <w:r>
        <w:rPr>
          <w:color w:val="646464"/>
          <w:sz w:val="20"/>
        </w:rPr>
        <w:t>文　　号：工信部联网安〔2026〕27号</w:t>
        <w:br/>
        <w:t>发文机关：工业和信息化部、国家网信办、国家发展改革委、国家数据局、公安部、自然资源部、交通运输部、市场监管总局</w:t>
        <w:br/>
        <w:t>发文日期：2026-02-04</w:t>
        <w:br/>
        <w:t>原文链接：https://www.tjjz.gov.cn/ztzl/szzxfwjz/zcwj/zzgy_175081/202602/t20260204_7238811.html</w:t>
      </w:r>
    </w:p>
    <w:p>
      <w:pPr>
        <w:ind w:left="240"/>
      </w:pPr>
      <w:r>
        <w:t>贯彻落实数据安全法，规范汽车数据出境活动，保障数据安全。</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趋势1：从汽车数据出境指引看数据跨境流动的制度化精细化。现象：2026年2月八部门联合印发《汽车数据出境安全指引》，针对特定行业出台专门性数据出境规则。逻辑：汽车数据涉及国家安全、个人信息和测绘地理信息等多重敏感维度，行业性指引是对《数据出境安全评估办法》等上位法的具体化落地，体现分类分级管理思路。研判：未来数据跨境监管将沿行业垂直细分路径深化，金融、医疗、航运等领域或陆续出台类似专项指引，企业需建立行业特定的数据出境合规清单。</w:t>
      </w:r>
    </w:p>
    <w:p>
      <w:r>
        <w:rPr>
          <w:b/>
          <w:color w:val="5B6DE4"/>
        </w:rPr>
        <w:t xml:space="preserve">②  </w:t>
      </w:r>
      <w:r>
        <w:t>趋势2：数据安全风险评估制度从原则倡导走向实操落地。现象：网信办2026年6-7月连续发布专家解读文章，聚焦数据安全风险评估制度建设。逻辑：在《数据安全法》确立风险评估法律地位后，主管部门正通过解读引导、标准制定等方式推动制度落地，为后续执法检查铺路。研判：下半年可能出台数据安全风险评估的专项管理办法或国家标准，评估结果或将与等保测评一样成为企业常态化合规义务。</w:t>
      </w:r>
    </w:p>
    <w:p>
      <w:r>
        <w:rPr>
          <w:b/>
          <w:color w:val="5B6DE4"/>
        </w:rPr>
        <w:t xml:space="preserve">③  </w:t>
      </w:r>
      <w:r>
        <w:t>趋势3：数据出境监管呈现多部门协同治理格局。现象：汽车数据出境指引由工信部、网信办、发改委、数据局、公安部等八部门联合印发。逻辑：数据要素跨部门属性决定单一机构难以独立完成监管闭环，多部门联合发文成为制度供给的主要形式，体现数据治理的综合性。研判：地方层面将跟进建立多部门联动的数据出境协调机制，企业在申报数据出境安全评估时需应对多头监管要求，合规成本可能上升。</w:t>
      </w:r>
    </w:p>
    <w:p>
      <w:r>
        <w:rPr>
          <w:b/>
          <w:color w:val="5B6DE4"/>
        </w:rPr>
        <w:t xml:space="preserve">④  </w:t>
      </w:r>
      <w:r>
        <w:t>趋势4：政策重心从促进数据流通转向安全与发展并重。现象：2026年政策文件密集强调数据安全、数据出境安全评估，与此前侧重数据要素市场化配置形成对比。逻辑：数据要素价值释放必须以安全为前提，监管层在推动数据流通交易的同时加速补齐安全制度短板，体现统筹发展和安全的总体思路。研判：数据要素市场建设将进入合规驱动阶段，数据交易场所和数商需同步完善安全合规能力，数据资产入表与安全评估或形成联动。</w:t>
      </w:r>
    </w:p>
    <w:p>
      <w:r>
        <w:rPr>
          <w:b/>
          <w:color w:val="5B6DE4"/>
        </w:rPr>
        <w:t xml:space="preserve">⑤  </w:t>
      </w:r>
      <w:r>
        <w:t>趋势5：行业数据治理规则加速补短板，汽车行业先行先试。现象：汽车数据出境安全指引是2026年首个行业性数据出境专项规则。逻辑：智能网联汽车数据采集量大、涉及主体多、出境需求迫切，具备先行先试条件，其经验可为其他行业提供范本。研判：工业互联网、医疗健康、智慧交通等领域的数据治理规则有望陆续出台，行业数据分类分级标准将加速细化。</w:t>
      </w:r>
    </w:p>
    <w:p>
      <w:r>
        <w:rPr>
          <w:b/>
          <w:color w:val="5B6DE4"/>
        </w:rPr>
        <w:t xml:space="preserve">⑥  </w:t>
      </w:r>
      <w:r>
        <w:t>趋势6：国际比较——中国行业化数据出境监管与欧盟GDPR、日本APPI的路径差异。现象：中国以行业指引（汽车数据出境）推进数据跨境流动管理，欧盟依据GDPR及 Schrems II判决持续强化充分性认定与SCCs机制，日本通过APPI修正案及数据跨境转移规则完善个人数据保护。逻辑：中国采取行业先行、多部门协同的监管路径，侧重国家安全维度；欧盟以基本权利保护为核心构建统一框架；日本在兼顾保护的同时注重跨境数据流动便利性。研判：中国行业化监管虽灵活但可能产生规则碎片化风险，未来需借鉴欧盟统一框架经验，在行业规则基础上提炼通用性制度安排，同时加强与主要经济体在数据跨境流动规则上的对接互认。</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