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生成日期：2026-07-23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《关于发布生成式人工智能服务已备案信息的公告（2026年5月至6月）》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发文日期：2026-07-10</w:t>
        <w:br/>
        <w:t>原文链接：https://www.cac.gov.cn/wxzw/wxfb/A093702index_1.htm</w:t>
      </w:r>
    </w:p>
    <w:p>
      <w:pPr>
        <w:ind w:left="240"/>
      </w:pPr>
      <w:r>
        <w:t>公布2026年5-6月生成式AI服务备案信息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《高质量数据集建设现场会在广东省广州市召开》</w:t>
      </w:r>
    </w:p>
    <w:p>
      <w:r>
        <w:rPr>
          <w:color w:val="646464"/>
          <w:sz w:val="20"/>
        </w:rPr>
        <w:t>文　　号：暂无</w:t>
        <w:br/>
        <w:t>发文机关：国家发展和改革委员会</w:t>
        <w:br/>
        <w:t>发文日期：2026-07-15</w:t>
        <w:br/>
        <w:t>原文链接：https://www.ndrc.gov.cn/fzggw/wld/llh/zyhd/index.html</w:t>
      </w:r>
    </w:p>
    <w:p>
      <w:pPr>
        <w:ind w:left="240"/>
      </w:pPr>
      <w:r>
        <w:t>国家数据局在广州召开高质量数据集建设现场会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《工业和信息化部办公厅关于公布2025年国家自主创新示范区改革典型案例的通知》</w:t>
      </w:r>
    </w:p>
    <w:p>
      <w:r>
        <w:rPr>
          <w:color w:val="646464"/>
          <w:sz w:val="20"/>
        </w:rPr>
        <w:t>文　　号：暂无</w:t>
        <w:br/>
        <w:t>发文机关：工业和信息化部办公厅</w:t>
        <w:br/>
        <w:t>发文日期：2026-07-16</w:t>
        <w:br/>
        <w:t>原文链接：https://www.miit.gov.cn/xbymdz/zwgk/index.html</w:t>
      </w:r>
    </w:p>
    <w:p>
      <w:pPr>
        <w:ind w:left="240"/>
      </w:pPr>
      <w:r>
        <w:t>公布2025年国家自主创新示范区改革典型案例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《工业和信息化部关于印发《推动工业互联网平台高质量发展行动方案（2026—2028年）》的通知》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发文日期：2026-07-10</w:t>
        <w:br/>
        <w:t>原文链接：https://www.miit.gov.cn/jgsj/xxjsfzs/index.html</w:t>
      </w:r>
    </w:p>
    <w:p>
      <w:pPr>
        <w:ind w:left="240"/>
      </w:pPr>
      <w:r>
        <w:t>推动工业互联网平台高质量发展三年行动方案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《省发展改革委关于省政协十三届三次会议第678号提案的答复》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发文日期：2026-06-25</w:t>
      </w:r>
    </w:p>
    <w:p>
      <w:pPr>
        <w:ind w:left="240"/>
      </w:pPr>
      <w:r>
        <w:t>支持之江人工智能公共算力平台及混合万卡集群建设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  <w:br/>
        <w:t>原文链接：https://gyxxh.tj.gov.cn/ZWGK4147/ZCWJ6355/gjjwj/202607/t20260713_7334666.html</w:t>
      </w:r>
    </w:p>
    <w:p>
      <w:pPr>
        <w:ind w:left="240"/>
      </w:pPr>
      <w:r>
        <w:t>四部门联合印发，推动互联网基础资源高质量发展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《广西规上工业企业数智化转型工作指引（2026版）》</w:t>
      </w:r>
    </w:p>
    <w:p>
      <w:r>
        <w:rPr>
          <w:color w:val="646464"/>
          <w:sz w:val="20"/>
        </w:rPr>
        <w:t>文　　号：暂无</w:t>
        <w:br/>
        <w:t>发文机关：广西壮族自治区工业和信息化厅</w:t>
        <w:br/>
        <w:t>发文日期：2026-07-01</w:t>
      </w:r>
    </w:p>
    <w:p>
      <w:pPr>
        <w:ind w:left="240"/>
      </w:pPr>
      <w:r>
        <w:t>推动规上工业企业数智化转型全域覆盖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《网络数据安全管理条例》</w:t>
      </w:r>
    </w:p>
    <w:p>
      <w:r>
        <w:rPr>
          <w:color w:val="646464"/>
          <w:sz w:val="20"/>
        </w:rPr>
        <w:t>文　　号：暂无</w:t>
        <w:br/>
        <w:t>发文机关：国务院</w:t>
        <w:br/>
        <w:t>发文日期：2026-03-03</w:t>
        <w:br/>
        <w:t>原文链接：https://cqca.miit.gov.cn/zwgk/zcwj/flfg/index.html</w:t>
      </w:r>
    </w:p>
    <w:p>
      <w:pPr>
        <w:ind w:left="240"/>
      </w:pPr>
      <w:r>
        <w:t>规范网络数据处理活动，保障数据安全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《政务数据共享条例》</w:t>
      </w:r>
    </w:p>
    <w:p>
      <w:r>
        <w:rPr>
          <w:color w:val="646464"/>
          <w:sz w:val="20"/>
        </w:rPr>
        <w:t>文　　号：暂无</w:t>
        <w:br/>
        <w:t>发文机关：国务院</w:t>
        <w:br/>
        <w:t>发文日期：2026-03-03</w:t>
        <w:br/>
        <w:t>原文链接：https://cqca.miit.gov.cn/zwgk/zcwj/flfg/index.html</w:t>
      </w:r>
    </w:p>
    <w:p>
      <w:pPr>
        <w:ind w:left="240"/>
      </w:pPr>
      <w:r>
        <w:t>促进政务数据有序共享，提升治理能力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《互联网信息服务深度合成管理规定》</w:t>
      </w:r>
    </w:p>
    <w:p>
      <w:r>
        <w:rPr>
          <w:color w:val="646464"/>
          <w:sz w:val="20"/>
        </w:rPr>
        <w:t>文　　号：暂无</w:t>
        <w:br/>
        <w:t>发文机关：国务院</w:t>
        <w:br/>
        <w:t>发文日期：2026-03-03</w:t>
        <w:br/>
        <w:t>原文链接：https://cqca.miit.gov.cn/zwgk/zcwj/flfg/index.html</w:t>
      </w:r>
    </w:p>
    <w:p>
      <w:pPr>
        <w:ind w:left="240"/>
      </w:pPr>
      <w:r>
        <w:t>规范深度合成服务，防范虚假信息传播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《智能体规范应用与创新发展实施意见》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发文日期：2026-05-08</w:t>
        <w:br/>
        <w:t>原文链接：https://www.cac.gov.cn/wxzw/zcfg/A093703index_1.htm</w:t>
      </w:r>
    </w:p>
    <w:p>
      <w:pPr>
        <w:ind w:left="240"/>
      </w:pPr>
      <w:r>
        <w:t>统筹AI智能体高质量发展与高水平安全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发文机关：国家网信办等三部门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建立网络数据安全风险评估机制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《实施网络安全标识的产品目录（第一批）及相关实施规则》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发布首批网络安全标识产品目录及实施规则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《肇庆高新区数字经济创新发展行动方案（2026-2028年）》</w:t>
      </w:r>
    </w:p>
    <w:p>
      <w:r>
        <w:rPr>
          <w:color w:val="646464"/>
          <w:sz w:val="20"/>
        </w:rPr>
        <w:t>文　　号：暂无</w:t>
        <w:br/>
        <w:t>发文机关：肇庆高新区管委会</w:t>
        <w:br/>
        <w:t>发文日期：2026-02-01</w:t>
      </w:r>
    </w:p>
    <w:p>
      <w:pPr>
        <w:ind w:left="240"/>
      </w:pPr>
      <w:r>
        <w:t>聚焦数据交易、AI研发、数字安全等核心业态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《上海市经济信息化委关于组织2026年上海市制造业智能化发展项目申报的通知》</w:t>
      </w:r>
    </w:p>
    <w:p>
      <w:r>
        <w:rPr>
          <w:color w:val="646464"/>
          <w:sz w:val="20"/>
        </w:rPr>
        <w:t>文　　号：暂无</w:t>
        <w:br/>
        <w:t>发文机关：上海市经济和信息化委员会</w:t>
        <w:br/>
        <w:t>发文日期：2026-01-12</w:t>
        <w:br/>
        <w:t>原文链接：https://www.sheitc.sh.gov.cn/cyfz/20260112/11e3168ff89a4eeea2b1afd193c19418.html</w:t>
      </w:r>
    </w:p>
    <w:p>
      <w:pPr>
        <w:ind w:left="240"/>
      </w:pPr>
      <w:r>
        <w:t>上海推动制造业智能化，支持AI与工业互联网融合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7月，工信部等四部门联合发布《关于推动互联网基础资源高质量发展的指导意见》，将互联网基础资源提升至国家战略高度。逻辑：此举旨在强化域名、IP地址等关键资源的自主可控与安全韧性，为数字中国筑牢底座。研判：后续可能配套出台互联网基础资源监测预警与应急管理细则，并推动IPv6规模部署与根服务器镜像节点建设，以降低对国外根服务器的依赖。</w:t>
      </w:r>
    </w:p>
    <w:p>
      <w:r>
        <w:rPr>
          <w:b/>
          <w:color w:val="5B6DE4"/>
        </w:rPr>
        <w:t xml:space="preserve">②  </w:t>
      </w:r>
      <w:r>
        <w:t>现象：2026年7月，工信部印发《推动工业互联网平台高质量发展行动方案（2026—2028年）》，明确未来三年发展路线图。逻辑：工业互联网已从概念普及进入深水区，政策重点从“建平台”转向“用平台”和“强生态”，强调平台互联互通与数据共享。研判：未来三年将出现一批跨行业、跨领域的综合性平台，但中小企业“不敢转、不会转”问题仍需通过普惠算力、补贴券等组合政策破解。</w:t>
      </w:r>
    </w:p>
    <w:p>
      <w:r>
        <w:rPr>
          <w:b/>
          <w:color w:val="5B6DE4"/>
        </w:rPr>
        <w:t xml:space="preserve">③  </w:t>
      </w:r>
      <w:r>
        <w:t>现象：2026年4-7月，安徽、宁波、河南等多地密集出台算力券、边缘算力补贴等政策，支持人工智能算力消费。逻辑：地方通过财政杠杆降低企业用算门槛，旨在培育本地AI产业生态，避免算力资源向一线城市过度集中。研判：算力券将成为各地“新基建”标配工具，但需警惕重复补贴与资源浪费，未来可能建立全国统一的算力调度与结算平台。</w:t>
      </w:r>
    </w:p>
    <w:p>
      <w:r>
        <w:rPr>
          <w:b/>
          <w:color w:val="5B6DE4"/>
        </w:rPr>
        <w:t xml:space="preserve">④  </w:t>
      </w:r>
      <w:r>
        <w:t>现象：2026年5月，网信办发布《智能体规范应用与创新发展实施意见》，首次专门针对AI智能体提出监管框架。逻辑：随着大模型驱动的自主智能体（如AutoGPT）快速渗透，其行为不可预测性带来安全风险，政策意图在鼓励创新与防范风险间寻求平衡。研判：下一步可能出台智能体分级分类管理办法，要求高风险智能体（如金融、医疗领域）通过安全评估后方可上线。</w:t>
      </w:r>
    </w:p>
    <w:p>
      <w:r>
        <w:rPr>
          <w:b/>
          <w:color w:val="5B6DE4"/>
        </w:rPr>
        <w:t xml:space="preserve">⑤  </w:t>
      </w:r>
      <w:r>
        <w:t>现象：2026年6月，国家网信办等三部门联合公布《网络数据安全风险评估办法》，建立常态化评估机制。逻辑：数据安全法实施后，企业合规成本高企，该办法旨在统一评估标准、避免多头检查，降低合规负担。研判：评估结果可能与企业信用、政府采购挂钩，倒逼企业建立数据安全内控体系；同时，第三方评估机构将迎来市场机遇。</w:t>
      </w:r>
    </w:p>
    <w:p>
      <w:r>
        <w:rPr>
          <w:b/>
          <w:color w:val="5B6DE4"/>
        </w:rPr>
        <w:t xml:space="preserve">⑥  </w:t>
      </w:r>
      <w:r>
        <w:t>现象：中国地方算力政策（如天津、河北、浙江）强调“通用算力、智能算力、超级算力一体化布局”，而美国2026年通过《AI基础设施法案》重点投资专用AI芯片与数据中心，欧盟则侧重数据空间与隐私计算。逻辑：中国走“集约化、一体化”路线，强调算力与数据、算法协同；美国走“技术领先”路线，聚焦硬件突破；欧盟走“规则引领”路线，强调数据主权。研判：中国需警惕算力“大而不强”，应加大自主AI芯片研发投入，避免在算力效率上被美拉开差距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