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生成日期：2026-09-30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原文链接：https://www.miit.gov.cn/zwgk/zcwj/</w:t>
      </w:r>
    </w:p>
    <w:p>
      <w:pPr>
        <w:ind w:left="240"/>
      </w:pPr>
      <w:r>
        <w:t>推动AI与软件全链条融合，培育智能软件新业态与行业解决方案。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部署数字乡村基础设施、智慧农业与乡村数字治理五年发展路径。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</w:r>
    </w:p>
    <w:p>
      <w:pPr>
        <w:ind w:left="240"/>
      </w:pPr>
      <w:r>
        <w:t>确立数据安全风险评估法定框架，指定认证机构并规范评估程序。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拟对大型平台施加更严格个人信息保护义务，涵盖算法与自动化决策。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专项行动聚焦App违规收集、人脸识别滥用等，取得阶段性执法成果。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《数字化绿色化协同转型发展专家解读》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阐释数字化与绿色化协同转型的政策逻辑，推动双化融合创新。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《数据治理相关政策法规问答（2026年8月）》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以问答形式解读数据治理最新政策法规，回应企业合规关切。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《2026年国家网络安全宣传周活动》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发文日期：2026-09-14</w:t>
      </w:r>
    </w:p>
    <w:p>
      <w:pPr>
        <w:ind w:left="240"/>
      </w:pPr>
      <w:r>
        <w:t>以“智能时代 网安护航”为主题，在全国开展网络安全意识与技能普及。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通报个人信息保护专项行动进展，查处违规收集使用个人信息行为。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以问答形式明确数据出境安全评估、认证及豁免等具体适用规则。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《新修改的中华人民共和国网络安全法》</w:t>
      </w:r>
    </w:p>
    <w:p>
      <w:r>
        <w:rPr>
          <w:color w:val="646464"/>
          <w:sz w:val="20"/>
        </w:rPr>
        <w:t>文　　号：暂无</w:t>
        <w:br/>
        <w:t>发文机关：全国人民代表大会常务委员会</w:t>
        <w:br/>
        <w:t>发文日期：2026-01-01</w:t>
      </w:r>
    </w:p>
    <w:p>
      <w:pPr>
        <w:ind w:left="240"/>
      </w:pPr>
      <w:r>
        <w:t>修改后网络安全法施行，强化关键信息基础设施保护与数据安全法律责任。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《人工智能大模型系列国家标准》</w:t>
      </w:r>
    </w:p>
    <w:p>
      <w:r>
        <w:rPr>
          <w:color w:val="646464"/>
          <w:sz w:val="20"/>
        </w:rPr>
        <w:t>文　　号：暂无</w:t>
        <w:br/>
        <w:t>发文机关：国家标准化管理委员会</w:t>
        <w:br/>
        <w:t>发文日期：2026-01-01</w:t>
      </w:r>
    </w:p>
    <w:p>
      <w:pPr>
        <w:ind w:left="240"/>
      </w:pPr>
      <w:r>
        <w:t>系列国家标准实施，覆盖大模型开发、评测、安全与应用全流程。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明确数据出境安全评估、认证及豁免规则，指导企业合规申报。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拟对大型平台施加更严格个人信息保护义务，涵盖算法与自动化决策。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《数据治理相关政策法规问答（2026年8月）》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解读数据治理最新政策法规，回应企业合规与数据流通关切。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发文日期：2026-08-19</w:t>
        <w:br/>
        <w:t>原文链接：https://www.cac.gov.cn/wxzw/sjzl/A093708index_1.htm</w:t>
      </w:r>
    </w:p>
    <w:p>
      <w:pPr>
        <w:ind w:left="240"/>
      </w:pPr>
      <w:r>
        <w:t>专项行动聚焦App违规收集、人脸识别滥用，取得阶段性执法成果。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发文日期：2026-08-20</w:t>
      </w:r>
    </w:p>
    <w:p>
      <w:pPr>
        <w:ind w:left="240"/>
      </w:pPr>
      <w:r>
        <w:t>建立数据安全风险评估法定制度，明确评估流程与认证机构要求。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部署数字乡村基础设施、智慧农业与乡村数字治理五年发展路径。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原文链接：https://www.miit.gov.cn/zwgk/zcwj/</w:t>
      </w:r>
    </w:p>
    <w:p>
      <w:pPr>
        <w:ind w:left="240"/>
      </w:pPr>
      <w:r>
        <w:t>推动AI与软件全链条融合，培育智能软件新业态与行业解决方案。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《数字化绿色化协同转型发展政策解读》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阐释数字化与绿色化协同转型逻辑，推动双化融合与深度协同创新。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工信部9月2日印发《“人工智能+软件”专项行动实施方案》（工信部信发〔2026〕209号），同期网信办发布数字乡村高质量发展行动计划。逻辑：政策重心正从单点技术扶持转向“AI+行业”系统性融合，以软件为切口推动AI落地，同时以数字乡村拓展应用纵深。研判：预计年内将出现更多“AI+垂直行业”专项行动，地方配套细则密集出台，但需警惕重复建设与低水平同质化竞争。</w:t>
      </w:r>
    </w:p>
    <w:p>
      <w:r>
        <w:rPr>
          <w:b/>
          <w:color w:val="5B6DE4"/>
        </w:rPr>
        <w:t xml:space="preserve">②  </w:t>
      </w:r>
      <w:r>
        <w:t>现象：网信办8月20日施行《网络数据安全风险评估办法》，并发布大型个人信息处理者保护规定征求意见稿。逻辑：数据安全制度正从原则性立法转向可操作的评估认证体系，大型平台被施加更严格合规义务，体现“分类分级、精准监管”思路。研判：数据安全评估将成为企业常态化合规成本，认证机构市场快速形成，中小企业可能面临能力与成本双重压力。</w:t>
      </w:r>
    </w:p>
    <w:p>
      <w:r>
        <w:rPr>
          <w:b/>
          <w:color w:val="5B6DE4"/>
        </w:rPr>
        <w:t xml:space="preserve">③  </w:t>
      </w:r>
      <w:r>
        <w:t>现象：新修改的网络安全法2026年1月1日施行，人工智能大模型系列国家标准同步实施，9月国家网络安全宣传周以“智能时代 网安护航”为主题。逻辑：立法、标准、宣传三线并进，构建“法律+标准+意识”三位一体治理框架，回应AI时代新型安全风险。研判：大模型安全评测与备案将趋于刚性，网络安全保险、安全即服务等市场化机制有望加速培育。</w:t>
      </w:r>
    </w:p>
    <w:p>
      <w:r>
        <w:rPr>
          <w:b/>
          <w:color w:val="5B6DE4"/>
        </w:rPr>
        <w:t xml:space="preserve">④  </w:t>
      </w:r>
      <w:r>
        <w:t>现象：网信办连续发布数据出境安全管理问答（7月）及个人信息保护专项行动通报（8月），数据跨境规则持续细化。逻辑：在促进数据有序流动与保障国家安全之间寻求平衡，通过问答形式降低企业合规不确定性，同时以专项行动强化执法威慑。研判：自贸区数据跨境负面清单有望扩围，跨国企业需建立动态合规机制，数据出境认证服务需求将显著上升。</w:t>
      </w:r>
    </w:p>
    <w:p>
      <w:r>
        <w:rPr>
          <w:b/>
          <w:color w:val="5B6DE4"/>
        </w:rPr>
        <w:t xml:space="preserve">⑤  </w:t>
      </w:r>
      <w:r>
        <w:t>现象：数字乡村高质量发展行动计划（2026—2030年）与数字化绿色化协同转型政策解读同期发布。逻辑：数字政策正从城市与工业主战场向乡村和绿色领域延伸，体现“数字中国”全域覆盖与“双碳”目标协同推进的战略意图。研判：县域数字化基础设施与智慧农业将成投资热点，但需防范数字鸿沟扩大与乡村数据治理能力不足问题。</w:t>
      </w:r>
    </w:p>
    <w:p>
      <w:r>
        <w:rPr>
          <w:b/>
          <w:color w:val="5B6DE4"/>
        </w:rPr>
        <w:t xml:space="preserve">⑥  </w:t>
      </w:r>
      <w:r>
        <w:t>现象：中国以网络安全法修订、大模型国标、数据出境问答构建治理体系；欧盟AI Act与GDPR持续深化，强调风险分级与基本权利保护；美国侧重行政令与NIST框架，偏重创新与安全平衡；日本通过数字厅推进AI战略但监管相对宽松。逻辑：中国强调整体安全与系统治理，欧盟侧重权利保护与风险预防，美国偏重市场驱动与弹性监管。研判：全球AI治理呈“三极”格局，中国应加强标准互认与国际对话，避免合规碎片化增加企业出海成本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