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生成日期：2026-05-30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发文机关：国家网信办、公安部、文化和旅游部、市场监管总局、广电总局</w:t>
        <w:br/>
        <w:t>发文日期：2026-05-29</w:t>
        <w:br/>
        <w:t>原文链接：https://finance.eastmoney.com/a/202605293754670386.html</w:t>
      </w:r>
    </w:p>
    <w:p>
      <w:pPr>
        <w:ind w:left="240"/>
      </w:pPr>
      <w:r>
        <w:t>规范互联网信息内容多渠道分发服务，保障合法权益，营造良好网络生态。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《天津市网络安全和信息化条例》</w:t>
      </w:r>
    </w:p>
    <w:p>
      <w:r>
        <w:rPr>
          <w:color w:val="646464"/>
          <w:sz w:val="20"/>
        </w:rPr>
        <w:t>文　　号：暂无</w:t>
        <w:br/>
        <w:t>发文机关：天津市人大常委会</w:t>
        <w:br/>
        <w:t>发文日期：2026-05-01</w:t>
        <w:br/>
        <w:t>原文链接：https://mp.weixin.qq.com/s?__biz=MzU4OTM0ODQ4MA==&amp;mid=2247667176&amp;idx=4&amp;sn=70887aefe6747502f52c47d07f221be4&amp;chksm=fcb17c5fca5d471caee17b772e29cb8ea1490b513cda18e7d88ad2f2ad68f9ef579ab21da133&amp;scene=27</w:t>
      </w:r>
    </w:p>
    <w:p>
      <w:pPr>
        <w:ind w:left="240"/>
      </w:pPr>
      <w:r>
        <w:t>加强网络安全与信息化区域协同，推动工业互联网产业链分工协作。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发文日期：2026-05-20</w:t>
      </w:r>
    </w:p>
    <w:p>
      <w:pPr>
        <w:ind w:left="240"/>
      </w:pPr>
      <w:r>
        <w:t>部署8方面重点任务，包括数据要素市场化改革、数字基础设施底座建设等。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《工业互联网与油气储运行业融合应用参考指南（2026年）》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发文日期：2026-05-21</w:t>
        <w:br/>
        <w:t>原文链接：http://finance.sina.com.cn/roll/2026-05-21/doc-inhysnxc6310983.shtml</w:t>
      </w:r>
    </w:p>
    <w:p>
      <w:pPr>
        <w:ind w:left="240"/>
      </w:pPr>
      <w:r>
        <w:t>推动工业互联网在油气储运行业广泛应用，加快数字化、智能化、绿色化转型。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《中国（北京）自由贸易试验区数据出境负面清单及管理办法》</w:t>
      </w:r>
    </w:p>
    <w:p>
      <w:r>
        <w:rPr>
          <w:color w:val="646464"/>
          <w:sz w:val="20"/>
        </w:rPr>
        <w:t>文　　号：暂无</w:t>
        <w:br/>
        <w:t>发文机关：北京市互联网信息办公室等三部门</w:t>
        <w:br/>
        <w:t>发文日期：2026-05-18</w:t>
        <w:br/>
        <w:t>原文链接：https://www.cac.gov.cn/wxzw/sjzl/A093708index_1.htm</w:t>
      </w:r>
    </w:p>
    <w:p>
      <w:pPr>
        <w:ind w:left="240"/>
      </w:pPr>
      <w:r>
        <w:t>明确北京自贸区数据出境负面清单，规范数据跨境流动管理。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《2026年第二批人工智能赋能新型工业化高质量数据集需求清单》</w:t>
      </w:r>
    </w:p>
    <w:p>
      <w:r>
        <w:rPr>
          <w:color w:val="646464"/>
          <w:sz w:val="20"/>
        </w:rPr>
        <w:t>文　　号：暂无</w:t>
        <w:br/>
        <w:t>发文机关：北京市经济和信息化局</w:t>
        <w:br/>
        <w:t>发文日期：2026-04-30</w:t>
        <w:br/>
        <w:t>原文链接：https://jxj.beijing.gov.cn/zwgk/2024zcwj/202604/t20260430_4625633.html</w:t>
      </w:r>
    </w:p>
    <w:p>
      <w:pPr>
        <w:ind w:left="240"/>
      </w:pPr>
      <w:r>
        <w:t>发布第二批高质量数据集需求清单，支撑模型研发与产业深度应用。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《中山市中小企业数字化转型城市试点数字化项目申报（4-5月）》</w:t>
      </w:r>
    </w:p>
    <w:p>
      <w:r>
        <w:rPr>
          <w:color w:val="646464"/>
          <w:sz w:val="20"/>
        </w:rPr>
        <w:t>文　　号：暂无</w:t>
        <w:br/>
        <w:t>发文机关：中山市工业和信息化局</w:t>
        <w:br/>
        <w:t>发文日期：2026-04-24</w:t>
        <w:br/>
        <w:t>原文链接：http://www.zs.gov.cn/zsjxj/gkmlpt/content/2/2608/post_2608915.html</w:t>
      </w:r>
    </w:p>
    <w:p>
      <w:pPr>
        <w:ind w:left="240"/>
      </w:pPr>
      <w:r>
        <w:t>组织中小企业数字化转型试点项目申报，推动数字化改造。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发文机关：国家网信办、国家发展改革委、工业和信息化部</w:t>
        <w:br/>
        <w:t>发文日期：2026-05-09</w:t>
        <w:br/>
        <w:t>原文链接：https://xueqiu.com/8678142904/387908103?_ugc_source=ugcbaiducard</w:t>
      </w:r>
    </w:p>
    <w:p>
      <w:pPr>
        <w:ind w:left="240"/>
      </w:pPr>
      <w:r>
        <w:t>首份智能体顶层设计文件，明确智能体定义及规范应用与创新发展要求。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《关于提升境外人员入境数字化服务便利性的实施意见》</w:t>
      </w:r>
    </w:p>
    <w:p>
      <w:r>
        <w:rPr>
          <w:color w:val="646464"/>
          <w:sz w:val="20"/>
        </w:rPr>
        <w:t>文　　号：暂无</w:t>
        <w:br/>
        <w:t>发文机关：国家网信办等11部门</w:t>
        <w:br/>
        <w:t>发文日期：2026-02-05</w:t>
        <w:br/>
        <w:t>原文链接：https://metc.njtc.edu.cn/info/1141/6282.htm</w:t>
      </w:r>
    </w:p>
    <w:p>
      <w:pPr>
        <w:ind w:left="240"/>
      </w:pPr>
      <w:r>
        <w:t>提升入境数字化服务便利化程度，打通居住、医疗、支付等堵点。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《个人信息保护政策法规问答（2026年4月）》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发文日期：2026-04-29</w:t>
        <w:br/>
        <w:t>原文链接：https://www.cac.gov.cn/wxzw/sjzl/A093708index_1.htm</w:t>
      </w:r>
    </w:p>
    <w:p>
      <w:pPr>
        <w:ind w:left="240"/>
      </w:pPr>
      <w:r>
        <w:t>发布个人信息保护政策法规问答，指导合规实践。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《上海市数据出境负面清单（自贸区及服务业扩大开放综合试点）》</w:t>
      </w:r>
    </w:p>
    <w:p>
      <w:r>
        <w:rPr>
          <w:color w:val="646464"/>
          <w:sz w:val="20"/>
        </w:rPr>
        <w:t>文　　号：暂无</w:t>
        <w:br/>
        <w:t>发文机关：上海市网信办、上海市数据局</w:t>
        <w:br/>
        <w:t>发文日期：2026-04-29</w:t>
        <w:br/>
        <w:t>原文链接：https://www.cac.gov.cn/wxzw/sjzl/A093708index_1.htm</w:t>
      </w:r>
    </w:p>
    <w:p>
      <w:pPr>
        <w:ind w:left="240"/>
      </w:pPr>
      <w:r>
        <w:t>明确上海自贸区及服务业扩大开放区域数据出境负面清单。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《呼和浩特市中小企业数字化转型城市试点常态化申报通知》</w:t>
      </w:r>
    </w:p>
    <w:p>
      <w:r>
        <w:rPr>
          <w:color w:val="646464"/>
          <w:sz w:val="20"/>
        </w:rPr>
        <w:t>文　　号：暂无</w:t>
        <w:br/>
        <w:t>发文机关：呼和浩特市工业和信息化局</w:t>
        <w:br/>
        <w:t>发文日期：2026-05-25</w:t>
        <w:br/>
        <w:t>原文链接：http://www.hhhtsme.cn/News/Detail?Id=27245</w:t>
      </w:r>
    </w:p>
    <w:p>
      <w:pPr>
        <w:ind w:left="240"/>
      </w:pPr>
      <w:r>
        <w:t>推行中小企业数字化转型试点项目常态化申报与验收。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5月，国家网信办等五部门联合发布《互联网信息内容多渠道分发服务管理规定》，对MCN机构等分发服务主体提出明确合规要求。逻辑：该规定填补了此前对内容分发渠道（如多平台同步发布、算法推荐分发）监管的空白，将监管从内容生产延伸至分发环节，旨在遏制虚假信息、恶意营销等乱象。研判：预计后续将出台配套实施细则，对分发平台的算法推荐规则进行更细化的约束，相关企业需提前调整内容审核与分发机制。</w:t>
      </w:r>
    </w:p>
    <w:p>
      <w:r>
        <w:rPr>
          <w:b/>
          <w:color w:val="5B6DE4"/>
        </w:rPr>
        <w:t xml:space="preserve">②  </w:t>
      </w:r>
      <w:r>
        <w:t>现象：2026年5月，国家网信办、发改委、工信部联合印发《智能体规范应用与创新发展实施意见》，首次在国家层面定义智能体并明确其监管框架。逻辑：智能体作为AI大模型的核心应用形态，其自主决策、执行能力带来新的安全与伦理风险，政策意图在于平衡创新激励与风险防控，为产业发展提供合规底线。研判：后续可能针对智能体的自主决策权限、责任归属出台更具体的行业标准，尤其在金融、医疗等高敏感领域。</w:t>
      </w:r>
    </w:p>
    <w:p>
      <w:r>
        <w:rPr>
          <w:b/>
          <w:color w:val="5B6DE4"/>
        </w:rPr>
        <w:t xml:space="preserve">③  </w:t>
      </w:r>
      <w:r>
        <w:t>现象：国家数据局印发《2026年数字经济发展工作要点》，明确提出加快建立全国统一数据产权登记制度。逻辑：数据产权制度是数据要素市场化配置的基础，此前各地试点标准不一，全国统一制度旨在打破数据流通壁垒，降低交易成本。研判：数据产权登记指引有望在年内出台，将推动数据资产化进程，但需关注与现有数据安全法、个人信息保护法的衔接问题。</w:t>
      </w:r>
    </w:p>
    <w:p>
      <w:r>
        <w:rPr>
          <w:b/>
          <w:color w:val="5B6DE4"/>
        </w:rPr>
        <w:t xml:space="preserve">④  </w:t>
      </w:r>
      <w:r>
        <w:t>现象：工信部发布《推动工业互联网平台高质量发展行动方案（2026—2028年）》，并配套发布油气储运行业融合应用指南。逻辑：工业互联网平台已从概念推广进入行业深耕阶段，政策重点转向垂直行业的深度融合与场景落地，通过指南形式降低企业应用门槛。研判：未来将有更多行业版工业互联网指南出台，平台企业需加强行业Know-How积累，地方政府可能配套专项资金支持试点。</w:t>
      </w:r>
    </w:p>
    <w:p>
      <w:r>
        <w:rPr>
          <w:b/>
          <w:color w:val="5B6DE4"/>
        </w:rPr>
        <w:t xml:space="preserve">⑤  </w:t>
      </w:r>
      <w:r>
        <w:t>现象：北京、上海、天津等地密集出台数据出境负面清单及网络安全条例，区域数据治理规则加速细化。逻辑：在《数据安全法》框架下，地方试点旨在探索既保障安全又促进跨境流动的可行路径，负面清单模式给予企业更明确的合规预期。研判：各地负面清单内容差异可能带来合规成本，国家层面或将出台统一的数据出境分类分级标准，以协调区域规则。</w:t>
      </w:r>
    </w:p>
    <w:p>
      <w:r>
        <w:rPr>
          <w:b/>
          <w:color w:val="5B6DE4"/>
        </w:rPr>
        <w:t xml:space="preserve">⑥  </w:t>
      </w:r>
      <w:r>
        <w:t>现象（国际比较）：中国2026年5月出台《智能体规范应用与创新发展实施意见》，而欧盟《人工智能法案》已于2025年全面生效，美国则通过行政令推动AI安全测试。逻辑：中国采取“发展+规范”并行策略，强调应用创新；欧盟侧重风险分级监管，对高风险AI系统施加严格义务；美国更依赖行业自律与现有法律框架。研判：中国模式可能在智能体等新兴领域形成先发优势，但需警惕监管碎片化风险；欧盟的严格规则可能抑制创新，但为全球AI治理提供模板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