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生成日期：2026-10-20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《江苏省支持人工智能创新发展有关实施方案》</w:t>
      </w:r>
    </w:p>
    <w:p>
      <w:r>
        <w:rPr>
          <w:color w:val="646464"/>
          <w:sz w:val="20"/>
        </w:rPr>
        <w:t>文　　号：暂无</w:t>
        <w:br/>
        <w:t>发文机关：江苏省发展改革委等五部门</w:t>
        <w:br/>
        <w:t>发文日期：2026-09-30</w:t>
      </w:r>
    </w:p>
    <w:p>
      <w:pPr>
        <w:ind w:left="240"/>
      </w:pPr>
      <w:r>
        <w:t>推出词元券支持智能算力服务购买，推动模型训练与推理应用。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《关于组织开展2026年人工智能技术赋能网络安全应用测试的公告》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发文日期：2026-05-18</w:t>
        <w:br/>
        <w:t>原文链接：https://www.cac.gov.cn/2026-05/18/c_1780846421726446.htm</w:t>
      </w:r>
    </w:p>
    <w:p>
      <w:pPr>
        <w:ind w:left="240"/>
      </w:pPr>
      <w:r>
        <w:t>组织AI技术赋能网络安全应用测试，分阶段部署模型并验证效果。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《天津市算力产业发展实施方案（2024—2026年）》</w:t>
      </w:r>
    </w:p>
    <w:p>
      <w:r>
        <w:rPr>
          <w:color w:val="646464"/>
          <w:sz w:val="20"/>
        </w:rPr>
        <w:t>文　　号：暂无</w:t>
        <w:br/>
        <w:t>发文机关：天津市人民政府办公厅</w:t>
        <w:br/>
        <w:t>发文日期：2024-07-22</w:t>
        <w:br/>
        <w:t>原文链接：https://gyxxh.tj.gov.cn/ZWGK4147/ZCWJ6355/sjwj/202407/t20240722_6681036.html</w:t>
      </w:r>
    </w:p>
    <w:p>
      <w:pPr>
        <w:ind w:left="240"/>
      </w:pPr>
      <w:r>
        <w:t>统筹通用、智能、超级算力布局，打造京津冀算力产业高地。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《2026年广西数据管理和政务服务工作要点》</w:t>
      </w:r>
    </w:p>
    <w:p>
      <w:r>
        <w:rPr>
          <w:color w:val="646464"/>
          <w:sz w:val="20"/>
        </w:rPr>
        <w:t>文　　号：暂无</w:t>
        <w:br/>
        <w:t>发文机关：广西壮族自治区大数据发展局</w:t>
        <w:br/>
        <w:t>发文日期：2026-03-26</w:t>
      </w:r>
    </w:p>
    <w:p>
      <w:pPr>
        <w:ind w:left="240"/>
      </w:pPr>
      <w:r>
        <w:t>部署人工智能+行动，推进数据管理与政务服务改革。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《关于构建公正合理的全球人工智能治理体系的述评（之二）》</w:t>
      </w:r>
    </w:p>
    <w:p>
      <w:r>
        <w:rPr>
          <w:color w:val="646464"/>
          <w:sz w:val="20"/>
        </w:rPr>
        <w:t>文　　号：暂无</w:t>
        <w:br/>
        <w:t>发文机关：中华人民共和国最高人民法院</w:t>
        <w:br/>
        <w:t>发文日期：2026-07-20</w:t>
        <w:br/>
        <w:t>原文链接：https://www.court.gov.cn/zixun/xiangqing/506551.html</w:t>
      </w:r>
    </w:p>
    <w:p>
      <w:pPr>
        <w:ind w:left="240"/>
      </w:pPr>
      <w:r>
        <w:t>阐述中国人工智能治理法律体系，强调善治促善智。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《2026年广西数据管理和政务服务工作要点》</w:t>
      </w:r>
    </w:p>
    <w:p>
      <w:r>
        <w:rPr>
          <w:color w:val="646464"/>
          <w:sz w:val="20"/>
        </w:rPr>
        <w:t>文　　号：暂无</w:t>
        <w:br/>
        <w:t>发文机关：广西壮族自治区大数据发展局</w:t>
        <w:br/>
        <w:t>发文日期：2026-03-26</w:t>
      </w:r>
    </w:p>
    <w:p>
      <w:pPr>
        <w:ind w:left="240"/>
      </w:pPr>
      <w:r>
        <w:t>部署人工智能+行动，推进数据管理与政务服务改革。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《关于组织开展2026年人工智能技术赋能网络安全应用测试的公告》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发文日期：2026-05-18</w:t>
        <w:br/>
        <w:t>原文链接：https://www.cac.gov.cn/2026-05/18/c_1780846421726446.htm</w:t>
      </w:r>
    </w:p>
    <w:p>
      <w:pPr>
        <w:ind w:left="240"/>
      </w:pPr>
      <w:r>
        <w:t>组织AI技术赋能网络安全应用测试，分阶段部署模型并验证效果。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《关于构建公正合理的全球人工智能治理体系的述评（之二）》</w:t>
      </w:r>
    </w:p>
    <w:p>
      <w:r>
        <w:rPr>
          <w:color w:val="646464"/>
          <w:sz w:val="20"/>
        </w:rPr>
        <w:t>文　　号：暂无</w:t>
        <w:br/>
        <w:t>发文机关：中华人民共和国最高人民法院</w:t>
        <w:br/>
        <w:t>发文日期：2026-07-20</w:t>
        <w:br/>
        <w:t>原文链接：https://www.court.gov.cn/zixun/xiangqing/506551.html</w:t>
      </w:r>
    </w:p>
    <w:p>
      <w:pPr>
        <w:ind w:left="240"/>
      </w:pPr>
      <w:r>
        <w:t>阐述中国人工智能治理法律体系，强调善治促善智。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《关于构建公正合理的全球人工智能治理体系的述评（之二）》</w:t>
      </w:r>
    </w:p>
    <w:p>
      <w:r>
        <w:rPr>
          <w:color w:val="646464"/>
          <w:sz w:val="20"/>
        </w:rPr>
        <w:t>文　　号：暂无</w:t>
        <w:br/>
        <w:t>发文机关：中华人民共和国国防部</w:t>
        <w:br/>
        <w:t>发文日期：2026-07-19</w:t>
      </w:r>
    </w:p>
    <w:p>
      <w:pPr>
        <w:ind w:left="240"/>
      </w:pPr>
      <w:r>
        <w:t>介绍全球人工智能治理倡议及国际合作行动计划成果。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江苏省于2026年9月30日推出“词元券”实施方案，以资金补贴形式支持企业、高校购买智能算力服务。逻辑：这反映了地方在“东数西算”框架下，试图通过需求侧补贴激活算力市场，降低AI创新门槛，同时引导算力资源向本地集聚。研判：此类“算力券”模式可能被更多省市效仿，但需警惕补贴退坡后的市场可持续性，以及算力供需匹配效率问题。</w:t>
      </w:r>
    </w:p>
    <w:p>
      <w:r>
        <w:rPr>
          <w:b/>
          <w:color w:val="5B6DE4"/>
        </w:rPr>
        <w:t xml:space="preserve">②  </w:t>
      </w:r>
      <w:r>
        <w:t>现象：中央网信办2026年5月启动人工智能技术赋能网络安全应用测试，分阶段在指定场所部署模型验证。逻辑：这表明监管机构正从被动合规转向主动利用AI提升安全防护能力，测试结果可能为后续制定AI安全标准提供依据。研判：未来网络安全政策将更强调“以AI治理AI”，但需关注测试中暴露的模型漏洞和对抗性风险，避免形成新的安全盲区。</w:t>
      </w:r>
    </w:p>
    <w:p>
      <w:r>
        <w:rPr>
          <w:b/>
          <w:color w:val="5B6DE4"/>
        </w:rPr>
        <w:t xml:space="preserve">③  </w:t>
      </w:r>
      <w:r>
        <w:t>现象：最高人民法院和国防部于2026年7月密集发布全球人工智能治理述评，强调“善治促善智”并推介《全球人工智能治理倡议》。逻辑：中国正通过司法和国防系统对外输出治理理念，对内强化法律体系衔接，为AI立法积累共识。研判：预计年内将出台更多AI治理配套规章，但需注意司法实践与产业创新的平衡，避免过度监管抑制技术活力。</w:t>
      </w:r>
    </w:p>
    <w:p>
      <w:r>
        <w:rPr>
          <w:b/>
          <w:color w:val="5B6DE4"/>
        </w:rPr>
        <w:t xml:space="preserve">④  </w:t>
      </w:r>
      <w:r>
        <w:t>现象：天津市2024年发布的算力产业实施方案（2024—2026年）进入收官年，统筹通用、智能、超级算力一体化布局。逻辑：地方算力规划往往以三年为周期，2026年正值评估和调整窗口，天津的经验可能为其他地区提供参考。研判：需关注算力基础设施的利用率与绿色能耗指标，避免重复建设；下一步政策或转向算力调度和跨区域协同。</w:t>
      </w:r>
    </w:p>
    <w:p>
      <w:r>
        <w:rPr>
          <w:b/>
          <w:color w:val="5B6DE4"/>
        </w:rPr>
        <w:t xml:space="preserve">⑤  </w:t>
      </w:r>
      <w:r>
        <w:t>现象：广西2026年3月发布数据管理和政务服务工作要点，明确部署“人工智能+”行动。逻辑：西部省份正借助数据要素和AI应用缩小数字鸿沟，但基础薄弱制约落地效果。研判：政策落地需配套资金和人才，否则易流于形式；建议关注跨省数据合作和算力帮扶机制，防止新一轮数字分化。</w:t>
      </w:r>
    </w:p>
    <w:p>
      <w:r>
        <w:rPr>
          <w:b/>
          <w:color w:val="5B6DE4"/>
        </w:rPr>
        <w:t xml:space="preserve">⑥  </w:t>
      </w:r>
      <w:r>
        <w:t>现象：中国通过最高法、国防部等渠道系统阐述AI治理主张，而欧盟以《人工智能法案》分级监管，美国侧重行政令与NIST框架，日本则通过数字厅推动社会5.0。逻辑：中国强调“发展与安全并重”和全球治理倡议，欧盟偏重风险预防，美国注重创新优先，日本聚焦社会应用。研判：中国可借鉴欧盟的风险分类思路细化国内监管，同时吸收美国NIST的标准化经验，但需保持自身治理话语权，避免规则被动接轨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