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生成日期：2026-09-21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部署未来五年数字乡村建设，推进乡村数字基础设施与数据要素应用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《2026年国家网络安全宣传周网络安全技术高峰论坛》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发文日期：2026-09-14</w:t>
        <w:br/>
        <w:t>原文链接：https://wap.cac.gov.cn/phoneindex.htm</w:t>
      </w:r>
    </w:p>
    <w:p>
      <w:pPr>
        <w:ind w:left="240"/>
      </w:pPr>
      <w:r>
        <w:t>在济南举行，聚焦网络安全技术，发布近期网络安全与数据安全治理动向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《智能网联新能源汽车产业发展十五五规划》</w:t>
      </w:r>
    </w:p>
    <w:p>
      <w:r>
        <w:rPr>
          <w:color w:val="646464"/>
          <w:sz w:val="20"/>
        </w:rPr>
        <w:t>文　　号：暂无</w:t>
        <w:br/>
        <w:t>发文机关：工业和信息化部等九部门</w:t>
        <w:br/>
        <w:t>发文日期：2026-09-11</w:t>
        <w:br/>
        <w:t>原文链接：https://www.miit.gov.cn/</w:t>
      </w:r>
    </w:p>
    <w:p>
      <w:pPr>
        <w:ind w:left="240"/>
      </w:pPr>
      <w:r>
        <w:t>九部门联合印发，部署智能网联新能源汽车产业十五五发展目标与任务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推进数字乡村建设，强化乡村数字基础设施与数据要素赋能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《数字化绿色化协同转型发展部署》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发文日期：2026-09-04</w:t>
        <w:br/>
        <w:t>原文链接：https://www.cac.gov.cn/wxzw/zcfg/A093703index_1.htm</w:t>
      </w:r>
    </w:p>
    <w:p>
      <w:pPr>
        <w:ind w:left="240"/>
      </w:pPr>
      <w:r>
        <w:t>明确智能化绿色化融合化方向，推进数字化绿色化协同转型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《人工智能+软件专项行动实施方案》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</w:t>
      </w:r>
    </w:p>
    <w:p>
      <w:pPr>
        <w:ind w:left="240"/>
      </w:pPr>
      <w:r>
        <w:t>推动人工智能与软件深度融合，培育智能软件产品与生态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总结2025年信息化发展，部署下一阶段数字中国建设重点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发文机关：国家网信办、公安部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对小型个人信息处理者设定简化合规义务，降低中小主体负担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发文机关：国家网信办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就数据出境安全评估与合规路径作出权威解答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《关于推进数字化绿色化协同转型发展的部署》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发文日期：2026-09-04</w:t>
        <w:br/>
        <w:t>原文链接：https://www.cac.gov.cn/wxzw/zcfg/A093703index_1.htm</w:t>
      </w:r>
    </w:p>
    <w:p>
      <w:pPr>
        <w:ind w:left="240"/>
      </w:pPr>
      <w:r>
        <w:t>坚持智能化绿色化融合化方向，纵深推进数字化绿色化协同转型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发文日期：2026-07-21</w:t>
        <w:br/>
        <w:t>原文链接：https://www.cac.gov.cn/wxzw/wxfb/A093702index_1.htm</w:t>
      </w:r>
    </w:p>
    <w:p>
      <w:pPr>
        <w:ind w:left="240"/>
      </w:pPr>
      <w:r>
        <w:t>部署IPv6技术创新与融合应用，推进下一代互联网规模化部署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9月，工信部印发《人工智能+软件专项行动实施方案》（工信部信发〔2026〕209号），同期中央网信办发布数字乡村高质量发展行动计划（2026—2030年）。逻辑：政策重心正从单点技术扶持转向AI与具体产业、具体场景的深度融合，数字乡村与智能软件成为AI落地的新抓手，体现以应用牵引技术迭代的治理思路。研判：预计后续将出现更多行业级AI+专项行动，地方配套资金与试点将快速跟进，需警惕重复建设与低水平同质化竞争。</w:t>
      </w:r>
    </w:p>
    <w:p>
      <w:r>
        <w:rPr>
          <w:b/>
          <w:color w:val="5B6DE4"/>
        </w:rPr>
        <w:t xml:space="preserve">②  </w:t>
      </w:r>
      <w:r>
        <w:t>现象：国家网信办、公安部联合公布《小型个人信息处理者个人信息保护简化措施规定》，对中小主体设定简化合规义务。逻辑：此前个人信息保护合规成本对中小企业偏高，简化措施意在平衡安全与产业发展，避免一刀切抑制创新活力。研判：这是数据合规制度走向精细化、分层化的信号，未来可能按处理规模、数据敏感度进一步分级，中小企业应尽早建立基础合规台账以应对后续监管。</w:t>
      </w:r>
    </w:p>
    <w:p>
      <w:r>
        <w:rPr>
          <w:b/>
          <w:color w:val="5B6DE4"/>
        </w:rPr>
        <w:t xml:space="preserve">③  </w:t>
      </w:r>
      <w:r>
        <w:t>现象：中央网信办连续发布数字化绿色化协同转型发展部署及专家解读，强调智能化、绿色化、融合化方向。逻辑：算力扩张带来能耗压力，双化协同意在将数据中心能效、绿电使用纳入数字政策框架，实现数字经济发展与双碳目标兼容。研判：绿色算力、液冷、绿电直供等将成为下一阶段政策扶持重点，东部算力枢纽的能耗指标约束可能趋紧，企业选址需提前评估绿电供给。</w:t>
      </w:r>
    </w:p>
    <w:p>
      <w:r>
        <w:rPr>
          <w:b/>
          <w:color w:val="5B6DE4"/>
        </w:rPr>
        <w:t xml:space="preserve">④  </w:t>
      </w:r>
      <w:r>
        <w:t>现象：国家网信办发布《数据出境安全管理政策法规问答（2026年7月）》，持续细化数据跨境合规路径。逻辑：在数据安全法、个人信息保护法框架下，监管通过问答形式降低企业合规不确定性，同时保持对重要数据的管控力度，体现放管服结合。研判：数据跨境将逐步形成负面清单加便利化通道的格局，自贸区、自贸港可能率先试点白名单，跨国企业应关注行业级出境指引的出台节奏。</w:t>
      </w:r>
    </w:p>
    <w:p>
      <w:r>
        <w:rPr>
          <w:b/>
          <w:color w:val="5B6DE4"/>
        </w:rPr>
        <w:t xml:space="preserve">⑤  </w:t>
      </w:r>
      <w:r>
        <w:t>现象：2026年国家网络安全宣传周在济南举行，网络安全技术高峰论坛同期召开，网信办发布近期网络安全与数据安全治理动向。逻辑：宣传周已从科普活动升级为政策发布与产业对接平台，反映网络安全治理正从被动防御转向主动治理与生态共建。研判：关键信息基础设施保护、供应链安全、AI安全评测将成为下一阶段监管重点，安全企业可关注政务、能源、金融领域的合规服务机会。</w:t>
      </w:r>
    </w:p>
    <w:p>
      <w:r>
        <w:rPr>
          <w:b/>
          <w:color w:val="5B6DE4"/>
        </w:rPr>
        <w:t xml:space="preserve">⑥  </w:t>
      </w:r>
      <w:r>
        <w:t>现象：中国以数据二十条、数据安全法、生成式AI暂行办法构建全链条治理；欧盟推进AI Act与GDPR叠加监管；美国以行政令与NIST框架为主，日本通过数字厅推动AI治理与数据流通。逻辑：三方路径差异明显——中国强调安全与发展并重、欧盟侧重风险分级与基本权利、美国偏重行业自律与创新优先。研判：中国可借鉴欧盟风险分级思路细化AI监管颗粒度，同时保持自身数据要素市场化优势，企业出海需同时应对多套合规体系，合规成本将成为国际化关键变量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