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明确网络数据安全风险评估机制与流程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《以‘小快灵’立法规范人工智能拟人化互动服务》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针对AI拟人化服务提出快速立法规范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《两部门关于联合开展2026年度人形机器人与具身智能实景实训专项行动的通知》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发文日期：2026-06-16</w:t>
        <w:br/>
        <w:t>原文链接：https://www.miit.gov.cn/wzpz/sylb/index.html</w:t>
      </w:r>
    </w:p>
    <w:p>
      <w:pPr>
        <w:ind w:left="240"/>
      </w:pPr>
      <w:r>
        <w:t>推动人形机器人与具身智能实景应用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发文日期：2026-06-15</w:t>
        <w:br/>
        <w:t>原文链接：https://www.ndrc.gov.cn/fzggw/wld/llh/zyhd/index.html</w:t>
      </w:r>
    </w:p>
    <w:p>
      <w:pPr>
        <w:ind w:left="240"/>
      </w:pPr>
      <w:r>
        <w:t>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发文日期：2026-06-11</w:t>
        <w:br/>
        <w:t>原文链接：https://www.miit.gov.cn/search/zcwjk.html?websiteid=110000000000000&amp;tpl=14&amp;category=183</w:t>
      </w:r>
    </w:p>
    <w:p>
      <w:pPr>
        <w:ind w:left="240"/>
      </w:pPr>
      <w:r>
        <w:t>推动平台经济大中小企业协同发展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规范互联网信息内容多渠道分发服务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《刘烈宏赴广州市开展调研》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专题研究数字中国建设路径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《刘烈宏出席数据安全发展大会开幕式并启动2026年‘数据要素×’大赛》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启动数据要素×大赛，促进数据应用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《广东省2026年支持推动人工智能赋能新型工业化标杆项目入库储备工作》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发文日期：2026-06-11</w:t>
        <w:br/>
        <w:t>原文链接：http://www.jiangmen.gov.cn/jmgxj/attachment/0/349/349704/3350943.pdf</w:t>
      </w:r>
    </w:p>
    <w:p>
      <w:pPr>
        <w:ind w:left="240"/>
      </w:pPr>
      <w:r>
        <w:t>推动AI赋能新型工业化项目入库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《网络测评活动规范》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规范网络测评活动，防止数据造假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发文日期：2026-06-03</w:t>
        <w:br/>
        <w:t>原文链接：https://hubca.miit.gov.cn/zwgk/zcwj/wjfb/art/2026/art_1a6880738cfc4235afeda815d6ae8ab4.html</w:t>
      </w:r>
    </w:p>
    <w:p>
      <w:pPr>
        <w:ind w:left="240"/>
      </w:pPr>
      <w:r>
        <w:t>推动AI与信息通信融合创新发展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部署全民数字素养与技能提升工作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  <w:br/>
        <w:t>原文链接：https://www.cics-cert.org.cn/web_root/webpage/articlecontent_110027_2038865719046705154.html</w:t>
      </w:r>
    </w:p>
    <w:p>
      <w:pPr>
        <w:ind w:left="240"/>
      </w:pPr>
      <w:r>
        <w:t>推动工业互联网与AI深度融合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《2026年国家智能制造标准化总体组和专家咨询组全体会议在京召开》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发文日期：2026-04-14</w:t>
        <w:br/>
        <w:t>原文链接：https://miitxxzx.org.cn/col/col203/index.html?uid=439&amp;pageNum=3</w:t>
      </w:r>
    </w:p>
    <w:p>
      <w:pPr>
        <w:ind w:left="240"/>
      </w:pPr>
      <w:r>
        <w:t>推进智能制造标准化工作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《2026中国互联网发展座谈会在京召开》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发文日期：2026-04-19</w:t>
        <w:br/>
        <w:t>原文链接：https://miitxxzx.org.cn/col/col203/index.html?uid=439&amp;pageNum=3</w:t>
      </w:r>
    </w:p>
    <w:p>
      <w:pPr>
        <w:ind w:left="240"/>
      </w:pPr>
      <w:r>
        <w:t>研讨互联网发展新趋势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6月，网信办密集发布《网络数据安全风险评估办法》和《以‘小快灵’立法规范人工智能拟人化互动服务》，标志着数据安全与AI治理进入快速立法通道。逻辑：面对AI拟人化服务引发的隐私、伦理风险，监管层选择‘小快灵’模式，降低立法成本，快速填补规则空白。研判：未来半年内，针对生成式AI的专项监管细则将加速出台，企业需提前建立合规框架，尤其是涉及用户交互的AI产品。</w:t>
      </w:r>
    </w:p>
    <w:p>
      <w:r>
        <w:rPr>
          <w:b/>
          <w:color w:val="5B6DE4"/>
        </w:rPr>
        <w:t xml:space="preserve">②  </w:t>
      </w:r>
      <w:r>
        <w:t>现象：工信部6月发布《‘人工智能+信息通信’创新发展实施意见（2026—2028年）》，明确AI与信息通信融合的三年路线。逻辑：该政策旨在将AI作为信息通信产业升级的核心引擎，通过标准化和场景化推动5G/6G网络智能化。研判：运营商和通信设备商将加大AI算力投资，边缘计算与AI芯片需求激增，但需警惕重复建设导致的资源浪费。</w:t>
      </w:r>
    </w:p>
    <w:p>
      <w:r>
        <w:rPr>
          <w:b/>
          <w:color w:val="5B6DE4"/>
        </w:rPr>
        <w:t xml:space="preserve">③  </w:t>
      </w:r>
      <w:r>
        <w:t>现象：国家数据局刘烈宏6月密集调研温州、深圳、东莞，并启动‘数据要素×’大赛，推动数据要素市场化。逻辑：数据要素作为新型生产要素，其确权、定价、流通机制尚不完善，调研旨在摸清地方实践痛点。研判：2026年下半年可能出台数据要素流通交易的国家级指导意见，数据交易所将迎来规范化整合，数据资产入表进程加快。</w:t>
      </w:r>
    </w:p>
    <w:p>
      <w:r>
        <w:rPr>
          <w:b/>
          <w:color w:val="5B6DE4"/>
        </w:rPr>
        <w:t xml:space="preserve">④  </w:t>
      </w:r>
      <w:r>
        <w:t>现象：工信部6月发布《促进平台经济大中小企业协同发展行动方案》，强调平台经济生态协同。逻辑：平台经济反垄断进入常态化，政策重心从‘强监管’转向‘促发展’，通过大中小企业协同激活创新。研判：平台企业将获得更多政策支持参与产业数字化，但数据垄断和算法合谋仍是监管重点，需平衡发展与规范。</w:t>
      </w:r>
    </w:p>
    <w:p>
      <w:r>
        <w:rPr>
          <w:b/>
          <w:color w:val="5B6DE4"/>
        </w:rPr>
        <w:t xml:space="preserve">⑤  </w:t>
      </w:r>
      <w:r>
        <w:t>现象：广东省6月启动‘人工智能赋能新型工业化标杆项目入库’，上海、重庆等地同步推进制造业智能化项目。逻辑：地方政策与国家级‘人工智能+’行动形成联动，通过项目制引导资金流向AI+制造场景。研判：长三角、珠三角将率先形成AI赋能制造业的示范集群，但中小企业因技术门槛可能被边缘化，需配套普惠性AI服务平台。</w:t>
      </w:r>
    </w:p>
    <w:p>
      <w:r>
        <w:rPr>
          <w:b/>
          <w:color w:val="5B6DE4"/>
        </w:rPr>
        <w:t xml:space="preserve">⑥  </w:t>
      </w:r>
      <w:r>
        <w:t>现象（国际比较）：中国通过‘小快灵’立法快速规范AI拟人化服务，而欧盟《AI法案》2026年进入全面实施阶段，美国则通过行政令推动AI安全测试。逻辑：中国侧重敏捷治理与产业促进并重，欧盟强调风险分级与基本权利保护，美国注重国家安全与创新激励。研判：中国模式在应对快速迭代的AI应用上更具灵活性，但长期需与国际标准接轨，避免合规碎片化；企业出海需同时满足多套监管要求，合规成本将显著上升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