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生成日期：2026-09-04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  <w:br/>
        <w:t>原文链接：https://www.miit.gov.cn/zwgk/zcwj/wjfb/</w:t>
      </w:r>
    </w:p>
    <w:p>
      <w:pPr>
        <w:ind w:left="240"/>
      </w:pPr>
      <w:r>
        <w:t>规划十五五工业绿色低碳发展，推动数字化绿色化协同。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《国家信息化发展报告(2025年)》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总结2025年国家信息化发展成效，展望未来方向。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为小型处理者提供个保合规简化措施，减轻中小企业负担。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《深化互联网协议第六版(IPv6)技术创新和融合应用实施方案》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深化IPv6规模部署与技术融合应用，夯实网络基础。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《关键信息基础设施安全保护条例》</w:t>
      </w:r>
    </w:p>
    <w:p>
      <w:r>
        <w:rPr>
          <w:color w:val="646464"/>
          <w:sz w:val="20"/>
        </w:rPr>
        <w:t>文　　号：暂无</w:t>
        <w:br/>
        <w:t>发文机关：司法部、网信办、工业和信息化部、公安部</w:t>
        <w:br/>
        <w:t>发文日期：2026-02-03</w:t>
        <w:br/>
        <w:t>原文链接：https://www.miit.gov.cn/gyhxxhb/jgsj/wlaqglj/zcjd/index.html</w:t>
      </w:r>
    </w:p>
    <w:p>
      <w:pPr>
        <w:ind w:left="240"/>
      </w:pPr>
      <w:r>
        <w:t>强化关键信息基础设施安全保护，落实主体责任。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网信办密集出台网信企业扶持政策，从监管向“监管+发展”双轮驱动转型。8月21日发布的《促进网信企业高质量发展行动计划(2026-2030年)》是标志性动作，其逻辑在于：在AI大模型竞争白热化阶段，中国需要培育一批具有全球竞争力的网信企业，以支撑数字中国战略。研判：后续将配套财税、金融、人才等专项细则，网信企业IPO和并购重组或迎政策窗口期。</w:t>
      </w:r>
    </w:p>
    <w:p>
      <w:r>
        <w:rPr>
          <w:b/>
          <w:color w:val="5B6DE4"/>
        </w:rPr>
        <w:t xml:space="preserve">②  </w:t>
      </w:r>
      <w:r>
        <w:t>趋势2：AI拟人化服务迎来专项监管，治理颗粒度细化至具体应用场景。《人工智能拟人化互动服务管理暂行办法》于7月15日施行，是全球首部针对AI拟人化互动的专门立法。其逻辑是：情感陪伴类AI应用爆发式增长，深度伪造、情感欺诈、未成年人保护等风险外溢，需要场景化规制。研判：此类“小切口”立法将成为AI治理主流范式，情感计算、数字人领域合规成本将显著上升。</w:t>
      </w:r>
    </w:p>
    <w:p>
      <w:r>
        <w:rPr>
          <w:b/>
          <w:color w:val="5B6DE4"/>
        </w:rPr>
        <w:t xml:space="preserve">③  </w:t>
      </w:r>
      <w:r>
        <w:t>趋势3：网络安全立法进入“修订+细化”新周期，制度体系加速完善。新修订的《网络安全法》已于2026年1月1日施行，配套的《网络安全标识管理办法》《关键信息基础设施安全保护条例》等陆续落地。逻辑在于：关键信息基础设施运营者范围扩大，供应链安全、数据主权等新议题亟待法律回应。研判：关基保护将成为执法重点，金融、能源、交通等行业需加快合规改造。</w:t>
      </w:r>
    </w:p>
    <w:p>
      <w:r>
        <w:rPr>
          <w:b/>
          <w:color w:val="5B6DE4"/>
        </w:rPr>
        <w:t xml:space="preserve">④  </w:t>
      </w:r>
      <w:r>
        <w:t>趋势4：IPv6规模部署从“能用”向“好用”跃迁，夯实算力网络底座。网信办7月发布深化IPv6技术创新和融合应用实施方案，强调与算力网络、AI基础设施的协同。其逻辑是：东数西算工程和智算中心建设对海量IP地址和确定性网络提出刚性需求，IPv6是唯一技术路径。研判：IPv6+（如APN6、SRv6）将在算力枢纽节点率先商用，带动网络设备升级浪潮。</w:t>
      </w:r>
    </w:p>
    <w:p>
      <w:r>
        <w:rPr>
          <w:b/>
          <w:color w:val="5B6DE4"/>
        </w:rPr>
        <w:t xml:space="preserve">⑤  </w:t>
      </w:r>
      <w:r>
        <w:t>趋势5：数据跨境流动监管框架趋于精细化，兼顾安全与开放。从《数据出境安全评估办法》到近期多部门联合发文提升境外人员入境数字化服务便利性，可见监管层正寻求数据安全与数字贸易便利化的平衡点。逻辑是：外资引入、跨境旅游、国际会展等场景对数据流动提出更高要求，过度限制将损害经济活力。研判：自贸区数据跨境“负面清单”将加速扩围，数据出境绿色通道机制有望建立。</w:t>
      </w:r>
    </w:p>
    <w:p>
      <w:r>
        <w:rPr>
          <w:b/>
          <w:color w:val="5B6DE4"/>
        </w:rPr>
        <w:t xml:space="preserve">⑥  </w:t>
      </w:r>
      <w:r>
        <w:t>趋势6（国际比较）：中国“场景立法”与欧盟“横向立法”、美国“行业自律”形成三种路径。欧盟《AI法案》已全面适用，以风险分级管控为纲；美国则通过行政令和NIST框架推动自愿性标准；中国选择以AI拟人化服务、深度合成等具体场景为切口快速立法。三者差异源于产业战略：欧盟重权利保护，美国重创新松绑，中国重应用治理与安全并重。研判：中国场景化立法更具灵活性，但需警惕“碎片化”风险，未来或需一部统一的《人工智能法》来统领全局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