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生成日期：2026-08-24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《个人信息保护政策法规问答（2026年8月）》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发文日期：2026-08-12</w:t>
        <w:br/>
        <w:t>原文链接：https://www.cac.gov.cn/wxzw/sjzl/A093708index_1.htm</w:t>
      </w:r>
    </w:p>
    <w:p>
      <w:pPr>
        <w:ind w:left="240"/>
      </w:pPr>
      <w:r>
        <w:t>网信办发布8月个人信息保护政策法规问答，明确合规要点。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发文日期：2026-08-20</w:t>
        <w:br/>
        <w:t>原文链接：http://jx.people.com.cn/BIG5/n2/2026/0622/c186330-41616984.html</w:t>
      </w:r>
    </w:p>
    <w:p>
      <w:pPr>
        <w:ind w:left="240"/>
      </w:pPr>
      <w:r>
        <w:t>三部门联合公布《网络数据安全风险评估办法》，自8月20日起施行。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网信办发布2026年5月至6月生成式AI服务备案信息公告。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网信办发布网络安全标识产品目录第一批及实施规则。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发文日期：2026-07-24</w:t>
        <w:br/>
        <w:t>原文链接：https://www.cac.gov.cn/wxzw/sjzl/A093708index_1.htm</w:t>
      </w:r>
    </w:p>
    <w:p>
      <w:pPr>
        <w:ind w:left="240"/>
      </w:pPr>
      <w:r>
        <w:t>网信办发布7月数据出境安全管理政策法规问答，指导合规实践。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《大型个人信息处理者个人信息保护规定（征求意见稿）》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原文链接：https://www.cac.gov.cn/wxzw/sjzl/A093708index_1.htm</w:t>
      </w:r>
    </w:p>
    <w:p>
      <w:pPr>
        <w:ind w:left="240"/>
      </w:pPr>
      <w:r>
        <w:t>网信办就大型个人信息处理者保护规定公开征求意见。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发文机关：工业和信息化部等八部门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八部门联合印发汽车数据出境安全指引，规范汽车数据跨境流动。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三部门联合公布《网络数据安全风险评估办法》，8月20日施行。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《关键信息基础设施安全保护条例》</w:t>
      </w:r>
    </w:p>
    <w:p>
      <w:r>
        <w:rPr>
          <w:color w:val="646464"/>
          <w:sz w:val="20"/>
        </w:rPr>
        <w:t>文　　号：暂无</w:t>
        <w:br/>
        <w:t>发文机关：司法部、网信办、工业和信息化部、公安部</w:t>
        <w:br/>
        <w:t>发文日期：2026-02-03</w:t>
        <w:br/>
        <w:t>原文链接：https://www.miit.gov.cn/gyhxxhb/jgsj/wlaqglj/zcjd/index.html</w:t>
      </w:r>
    </w:p>
    <w:p>
      <w:pPr>
        <w:ind w:left="240"/>
      </w:pPr>
      <w:r>
        <w:t>四部门就关键信息基础设施安全保护条例答记者问，明确要点。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8月20日《网络数据安全风险评估办法》正式施行，标志着数据安全治理从原则性规定走向可操作的具体制度。该办法由网信办、工信部、公安部三部门联合制定，将风险评估作为数据安全合规的核心抓手。下一步，各行业主管部门将陆续出台配套细则，企业数据安全合规成本将显著上升，数据安全服务市场有望迎来爆发式增长。</w:t>
      </w:r>
    </w:p>
    <w:p>
      <w:r>
        <w:rPr>
          <w:b/>
          <w:color w:val="5B6DE4"/>
        </w:rPr>
        <w:t xml:space="preserve">②  </w:t>
      </w:r>
      <w:r>
        <w:t>趋势2（技术路线）：网信办2026年7月15日发布生成式人工智能服务备案信息公告，显示我国AI监管正从‘事后追责’转向‘事前备案+动态监测’。备案制度已成为生成式AI进入市场的‘准入门槛’，未备案产品面临下架风险。预计下半年备案范围将扩展至更多垂直领域，如医疗、金融AI应用，技术合规能力将成为AI企业核心竞争力。</w:t>
      </w:r>
    </w:p>
    <w:p>
      <w:r>
        <w:rPr>
          <w:b/>
          <w:color w:val="5B6DE4"/>
        </w:rPr>
        <w:t xml:space="preserve">③  </w:t>
      </w:r>
      <w:r>
        <w:t>趋势3（区域格局）：江苏网信网2026年7月24日更新法规文件库，集中展示未成年人网络保护条例等最新法规，反映重点省市正加速落实国家数字政策。长三角、珠三角地区在数据要素市场化配置改革中走在前列，上海、广东等地已出台地方性数据条例。区域间政策执行力度差异将影响数字产业布局，企业需关注属地监管动态。</w:t>
      </w:r>
    </w:p>
    <w:p>
      <w:r>
        <w:rPr>
          <w:b/>
          <w:color w:val="5B6DE4"/>
        </w:rPr>
        <w:t xml:space="preserve">④  </w:t>
      </w:r>
      <w:r>
        <w:t>趋势4（产业影响）：工信部2026年7月20日发布二季度电信服务通告，线上业务办理量占比超91%，显示信息通信服务数字化水平持续提升。5G、云计算等新型基础设施加速普及，推动工业互联网、数字化转型政策落地。电信运营商在数字政府、智慧城市建设中的角色日益重要，相关产业链企业将受益于政策红利。</w:t>
      </w:r>
    </w:p>
    <w:p>
      <w:r>
        <w:rPr>
          <w:b/>
          <w:color w:val="5B6DE4"/>
        </w:rPr>
        <w:t xml:space="preserve">⑤  </w:t>
      </w:r>
      <w:r>
        <w:t>趋势5（安全合规）：网信办2026年7月6日印发网络安全标识产品目录第一批，标志着网络安全产品管理进入‘标识化’新阶段。该制度将帮助用户识别合规产品，同时倒逼安全厂商提升产品质量。随着等级保护和关键信息基础设施安全保护要求的深化，网络安全产品市场将面临洗牌，具备高级别资质的企业将获得更大市场份额。</w:t>
      </w:r>
    </w:p>
    <w:p>
      <w:r>
        <w:rPr>
          <w:b/>
          <w:color w:val="5B6DE4"/>
        </w:rPr>
        <w:t xml:space="preserve">⑥  </w:t>
      </w:r>
      <w:r>
        <w:t>趋势6（国际比较）：中国2026年密集出台数据出境安全评估、汽车数据出境指引等规定，与美国拜登政府2025年行政令、欧盟《人工智能法案》形成鲜明对比。中国采取‘分行业、分场景’的精细化管理路径，欧盟侧重基于风险的分级监管，美国则更依赖行业自律与市场机制。中国在数据跨境流动方面更强调安全可控，未来需在安全与效率间寻求平衡，同时积极参与国际数据治理规则制定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