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生成日期：2026-05-25　　数据 · 算力 · 信息化</w:t>
      </w:r>
    </w:p>
    <w:p/>
    <w:p>
      <w:pPr>
        <w:pStyle w:val="Heading1"/>
      </w:pPr>
      <w:r>
        <w:rPr>
          <w:color w:val="5B6DE4"/>
          <w:sz w:val="28"/>
        </w:rPr>
        <w:t>一、过去 24 小时关键政策</w:t>
      </w:r>
    </w:p>
    <w:p>
      <w:r>
        <w:rPr>
          <w:b/>
          <w:sz w:val="24"/>
        </w:rPr>
        <w:t>《国务院办公厅关于进一步优化数字经济发展环境的指导意见》</w:t>
      </w:r>
    </w:p>
    <w:p>
      <w:r>
        <w:rPr>
          <w:color w:val="646464"/>
          <w:sz w:val="20"/>
        </w:rPr>
        <w:t>文　　号：国办发〔2026〕15号</w:t>
        <w:br/>
        <w:t>发文机关：国务院办公厅</w:t>
        <w:br/>
        <w:t>发文日期：2026-05-24</w:t>
      </w:r>
    </w:p>
    <w:p>
      <w:pPr>
        <w:ind w:left="240"/>
      </w:pPr>
      <w:r>
        <w:t>提出加快数据要素市场建设，推动算力基础设施协同布局，优化数字营商环境。</w:t>
      </w:r>
    </w:p>
    <w:p>
      <w:pPr>
        <w:spacing w:before="0" w:after="80"/>
        <w:pBdr>
          <w:bottom w:val="single" w:sz="4" w:space="1" w:color="DDDDDD"/>
        </w:pBdr>
      </w:pPr>
    </w:p>
    <w:p>
      <w:r>
        <w:rPr>
          <w:b/>
          <w:sz w:val="24"/>
        </w:rPr>
        <w:t>《国家数据局关于印发数据要素市场化配置改革试点方案的通知》</w:t>
      </w:r>
    </w:p>
    <w:p>
      <w:r>
        <w:rPr>
          <w:color w:val="646464"/>
          <w:sz w:val="20"/>
        </w:rPr>
        <w:t>文　　号：国数局〔2026〕12号</w:t>
        <w:br/>
        <w:t>发文机关：国家数据局</w:t>
        <w:br/>
        <w:t>发文日期：2026-05-23</w:t>
      </w:r>
    </w:p>
    <w:p>
      <w:pPr>
        <w:ind w:left="240"/>
      </w:pPr>
      <w:r>
        <w:t>在10个省市开展数据产权、流通交易、收益分配等改革试点。</w:t>
      </w:r>
    </w:p>
    <w:p>
      <w:pPr>
        <w:spacing w:before="0" w:after="80"/>
        <w:pBdr>
          <w:bottom w:val="single" w:sz="4" w:space="1" w:color="DDDDDD"/>
        </w:pBdr>
      </w:pPr>
    </w:p>
    <w:p>
      <w:r>
        <w:rPr>
          <w:b/>
          <w:sz w:val="24"/>
        </w:rPr>
        <w:t>《工业和信息化部关于推进算力网络高质量发展的实施意见》</w:t>
      </w:r>
    </w:p>
    <w:p>
      <w:r>
        <w:rPr>
          <w:color w:val="646464"/>
          <w:sz w:val="20"/>
        </w:rPr>
        <w:t>文　　号：工信部信管〔2026〕88号</w:t>
        <w:br/>
        <w:t>发文机关：工业和信息化部</w:t>
        <w:br/>
        <w:t>发文日期：2026-05-23</w:t>
      </w:r>
    </w:p>
    <w:p>
      <w:pPr>
        <w:ind w:left="240"/>
      </w:pPr>
      <w:r>
        <w:t>明确算力网络标准体系，推动东数西算工程与边缘计算协同发展。</w:t>
      </w:r>
    </w:p>
    <w:p>
      <w:pPr>
        <w:spacing w:before="0" w:after="80"/>
        <w:pBdr>
          <w:bottom w:val="single" w:sz="4" w:space="1" w:color="DDDDDD"/>
        </w:pBdr>
      </w:pPr>
    </w:p>
    <w:p>
      <w:r>
        <w:rPr>
          <w:b/>
          <w:sz w:val="24"/>
        </w:rPr>
        <w:t>《中央网信办关于加强生成式人工智能数据安全管理的通知》</w:t>
      </w:r>
    </w:p>
    <w:p>
      <w:r>
        <w:rPr>
          <w:color w:val="646464"/>
          <w:sz w:val="20"/>
        </w:rPr>
        <w:t>文　　号：网信办〔2026〕9号</w:t>
        <w:br/>
        <w:t>发文机关：中央网络安全和信息化委员会办公室</w:t>
        <w:br/>
        <w:t>发文日期：2026-05-22</w:t>
      </w:r>
    </w:p>
    <w:p>
      <w:pPr>
        <w:ind w:left="240"/>
      </w:pPr>
      <w:r>
        <w:t>要求AI服务提供者落实数据分类分级、安全评估和内容标识义务。</w:t>
      </w:r>
    </w:p>
    <w:p>
      <w:pPr>
        <w:spacing w:before="0" w:after="80"/>
        <w:pBdr>
          <w:bottom w:val="single" w:sz="4" w:space="1" w:color="DDDDDD"/>
        </w:pBdr>
      </w:pPr>
    </w:p>
    <w:p>
      <w:r>
        <w:rPr>
          <w:b/>
          <w:sz w:val="24"/>
        </w:rPr>
        <w:t>《国家发展改革委关于数据中心绿色低碳发展行动方案的通知》</w:t>
      </w:r>
    </w:p>
    <w:p>
      <w:r>
        <w:rPr>
          <w:color w:val="646464"/>
          <w:sz w:val="20"/>
        </w:rPr>
        <w:t>文　　号：发改环资〔2026〕520号</w:t>
        <w:br/>
        <w:t>发文机关：国家发展和改革委员会</w:t>
        <w:br/>
        <w:t>发文日期：2026-05-22</w:t>
      </w:r>
    </w:p>
    <w:p>
      <w:pPr>
        <w:ind w:left="240"/>
      </w:pPr>
      <w:r>
        <w:t>提出2027年新建大型数据中心PUE低于1.2，鼓励使用绿电。</w:t>
      </w:r>
    </w:p>
    <w:p>
      <w:pPr>
        <w:spacing w:before="0" w:after="80"/>
        <w:pBdr>
          <w:bottom w:val="single" w:sz="4" w:space="1" w:color="DDDDDD"/>
        </w:pBdr>
      </w:pPr>
    </w:p>
    <w:p>
      <w:r>
        <w:rPr>
          <w:b/>
          <w:sz w:val="24"/>
        </w:rPr>
        <w:t>《北京市经济和信息化局关于印发北京市数据要素市场建设三年行动计划的通知》</w:t>
      </w:r>
    </w:p>
    <w:p>
      <w:r>
        <w:rPr>
          <w:color w:val="646464"/>
          <w:sz w:val="20"/>
        </w:rPr>
        <w:t>文　　号：京经信发〔2026〕45号</w:t>
        <w:br/>
        <w:t>发文机关：北京市经济和信息化局</w:t>
        <w:br/>
        <w:t>发文日期：2026-05-21</w:t>
      </w:r>
    </w:p>
    <w:p>
      <w:pPr>
        <w:ind w:left="240"/>
      </w:pPr>
      <w:r>
        <w:t>建设数据交易平台，探索数据资产入表，培育数据商生态。</w:t>
      </w:r>
    </w:p>
    <w:p>
      <w:pPr>
        <w:spacing w:before="0" w:after="80"/>
        <w:pBdr>
          <w:bottom w:val="single" w:sz="4" w:space="1" w:color="DDDDDD"/>
        </w:pBdr>
      </w:pPr>
    </w:p>
    <w:p/>
    <w:p>
      <w:pPr>
        <w:pStyle w:val="Heading1"/>
      </w:pPr>
      <w:r>
        <w:rPr>
          <w:color w:val="5B6DE4"/>
          <w:sz w:val="28"/>
        </w:rPr>
        <w:t>二、过去一个月主要政策动向</w:t>
      </w:r>
    </w:p>
    <w:p>
      <w:r>
        <w:rPr>
          <w:b/>
          <w:sz w:val="24"/>
        </w:rPr>
        <w:t>《国务院关于数字政府建设一体化推进的指导意见》</w:t>
      </w:r>
    </w:p>
    <w:p>
      <w:r>
        <w:rPr>
          <w:color w:val="646464"/>
          <w:sz w:val="20"/>
        </w:rPr>
        <w:t>文　　号：国发〔2026〕12号</w:t>
        <w:br/>
        <w:t>发文机关：国务院</w:t>
        <w:br/>
        <w:t>发文日期：2026-05-10</w:t>
      </w:r>
    </w:p>
    <w:p>
      <w:pPr>
        <w:ind w:left="240"/>
      </w:pPr>
      <w:r>
        <w:t>推动政务数据共享、业务协同，2027年基本建成全国一体化政务大数据体系。</w:t>
      </w:r>
    </w:p>
    <w:p>
      <w:pPr>
        <w:spacing w:before="0" w:after="80"/>
        <w:pBdr>
          <w:bottom w:val="single" w:sz="4" w:space="1" w:color="DDDDDD"/>
        </w:pBdr>
      </w:pPr>
    </w:p>
    <w:p>
      <w:r>
        <w:rPr>
          <w:b/>
          <w:sz w:val="24"/>
        </w:rPr>
        <w:t>《国家数据局 中央网信办 工业和信息化部联合印发数据安全治理能力提升行动方案》</w:t>
      </w:r>
    </w:p>
    <w:p>
      <w:r>
        <w:rPr>
          <w:color w:val="646464"/>
          <w:sz w:val="20"/>
        </w:rPr>
        <w:t>文　　号：国数局〔2026〕8号</w:t>
        <w:br/>
        <w:t>发文机关：国家数据局、中央网信办、工业和信息化部</w:t>
        <w:br/>
        <w:t>发文日期：2026-05-08</w:t>
      </w:r>
    </w:p>
    <w:p>
      <w:pPr>
        <w:ind w:left="240"/>
      </w:pPr>
      <w:r>
        <w:t>强化数据分类分级、风险评估、应急演练，提升重点行业数据安全水平。</w:t>
      </w:r>
    </w:p>
    <w:p>
      <w:pPr>
        <w:spacing w:before="0" w:after="80"/>
        <w:pBdr>
          <w:bottom w:val="single" w:sz="4" w:space="1" w:color="DDDDDD"/>
        </w:pBdr>
      </w:pPr>
    </w:p>
    <w:p>
      <w:r>
        <w:rPr>
          <w:b/>
          <w:sz w:val="24"/>
        </w:rPr>
        <w:t>《工业和信息化部关于工业互联网平台数据管理规范的通知》</w:t>
      </w:r>
    </w:p>
    <w:p>
      <w:r>
        <w:rPr>
          <w:color w:val="646464"/>
          <w:sz w:val="20"/>
        </w:rPr>
        <w:t>文　　号：工信部信软〔2026〕72号</w:t>
        <w:br/>
        <w:t>发文机关：工业和信息化部</w:t>
        <w:br/>
        <w:t>发文日期：2026-05-06</w:t>
      </w:r>
    </w:p>
    <w:p>
      <w:pPr>
        <w:ind w:left="240"/>
      </w:pPr>
      <w:r>
        <w:t>规范工业数据采集、存储、使用，推动平台间数据互操作。</w:t>
      </w:r>
    </w:p>
    <w:p>
      <w:pPr>
        <w:spacing w:before="0" w:after="80"/>
        <w:pBdr>
          <w:bottom w:val="single" w:sz="4" w:space="1" w:color="DDDDDD"/>
        </w:pBdr>
      </w:pPr>
    </w:p>
    <w:p>
      <w:r>
        <w:rPr>
          <w:b/>
          <w:sz w:val="24"/>
        </w:rPr>
        <w:t>《国家发展改革委 国家数据局关于印发全国一体化算力网建设实施方案的通知》</w:t>
      </w:r>
    </w:p>
    <w:p>
      <w:r>
        <w:rPr>
          <w:color w:val="646464"/>
          <w:sz w:val="20"/>
        </w:rPr>
        <w:t>文　　号：发改高技〔2026〕480号</w:t>
        <w:br/>
        <w:t>发文机关：国家发展改革委、国家数据局</w:t>
        <w:br/>
        <w:t>发文日期：2026-05-05</w:t>
      </w:r>
    </w:p>
    <w:p>
      <w:pPr>
        <w:ind w:left="240"/>
      </w:pPr>
      <w:r>
        <w:t>构建国家算力枢纽节点间高速网络，实现算力资源统一调度。</w:t>
      </w:r>
    </w:p>
    <w:p>
      <w:pPr>
        <w:spacing w:before="0" w:after="80"/>
        <w:pBdr>
          <w:bottom w:val="single" w:sz="4" w:space="1" w:color="DDDDDD"/>
        </w:pBdr>
      </w:pPr>
    </w:p>
    <w:p>
      <w:r>
        <w:rPr>
          <w:b/>
          <w:sz w:val="24"/>
        </w:rPr>
        <w:t>《中央网信办关于进一步规范网络数据跨境流动安全评估的通知》</w:t>
      </w:r>
    </w:p>
    <w:p>
      <w:r>
        <w:rPr>
          <w:color w:val="646464"/>
          <w:sz w:val="20"/>
        </w:rPr>
        <w:t>文　　号：网信办〔2026〕7号</w:t>
        <w:br/>
        <w:t>发文机关：中央网络安全和信息化委员会办公室</w:t>
        <w:br/>
        <w:t>发文日期：2026-04-28</w:t>
      </w:r>
    </w:p>
    <w:p>
      <w:pPr>
        <w:ind w:left="240"/>
      </w:pPr>
      <w:r>
        <w:t>细化数据出境安全评估流程，明确重要数据目录和申报材料要求。</w:t>
      </w:r>
    </w:p>
    <w:p>
      <w:pPr>
        <w:spacing w:before="0" w:after="80"/>
        <w:pBdr>
          <w:bottom w:val="single" w:sz="4" w:space="1" w:color="DDDDDD"/>
        </w:pBdr>
      </w:pPr>
    </w:p>
    <w:p>
      <w:r>
        <w:rPr>
          <w:b/>
          <w:sz w:val="24"/>
        </w:rPr>
        <w:t>《上海市数据局关于印发上海市公共数据开放管理办法的通知》</w:t>
      </w:r>
    </w:p>
    <w:p>
      <w:r>
        <w:rPr>
          <w:color w:val="646464"/>
          <w:sz w:val="20"/>
        </w:rPr>
        <w:t>文　　号：沪数据〔2026〕3号</w:t>
        <w:br/>
        <w:t>发文机关：上海市数据局</w:t>
        <w:br/>
        <w:t>发文日期：2026-04-26</w:t>
      </w:r>
    </w:p>
    <w:p>
      <w:pPr>
        <w:ind w:left="240"/>
      </w:pPr>
      <w:r>
        <w:t>明确公共数据开放目录、申请流程和使用规范，鼓励社会开发利用。</w:t>
      </w:r>
    </w:p>
    <w:p>
      <w:pPr>
        <w:spacing w:before="0" w:after="80"/>
        <w:pBdr>
          <w:bottom w:val="single" w:sz="4" w:space="1" w:color="DDDDDD"/>
        </w:pBdr>
      </w:pPr>
    </w:p>
    <w:p/>
    <w:p>
      <w:pPr>
        <w:pStyle w:val="Heading1"/>
      </w:pPr>
      <w:r>
        <w:rPr>
          <w:color w:val="5B6DE4"/>
          <w:sz w:val="28"/>
        </w:rPr>
        <w:t>三、未来趋势判断</w:t>
      </w:r>
    </w:p>
    <w:p>
      <w:r>
        <w:rPr>
          <w:b/>
          <w:color w:val="5B6DE4"/>
        </w:rPr>
        <w:t xml:space="preserve">①  </w:t>
      </w:r>
      <w:r>
        <w:t>趋势 1：数据要素市场化配置改革加速，多地启动数据产权和流通试点。</w:t>
      </w:r>
    </w:p>
    <w:p>
      <w:r>
        <w:rPr>
          <w:b/>
          <w:color w:val="5B6DE4"/>
        </w:rPr>
        <w:t xml:space="preserve">②  </w:t>
      </w:r>
      <w:r>
        <w:t>趋势 2：算力网络建设从顶层设计走向落地，东数西算与边缘计算协同推进。</w:t>
      </w:r>
    </w:p>
    <w:p>
      <w:r>
        <w:rPr>
          <w:b/>
          <w:color w:val="5B6DE4"/>
        </w:rPr>
        <w:t xml:space="preserve">③  </w:t>
      </w:r>
      <w:r>
        <w:t>趋势 3：生成式AI数据安全监管趋严，分类分级和内容标识成为合规重点。</w:t>
      </w:r>
    </w:p>
    <w:p>
      <w:r>
        <w:rPr>
          <w:b/>
          <w:color w:val="5B6DE4"/>
        </w:rPr>
        <w:t xml:space="preserve">④  </w:t>
      </w:r>
      <w:r>
        <w:t>趋势 4：数据中心绿色低碳转型政策密集出台，PUE指标和绿电使用成硬约束。</w:t>
      </w:r>
    </w:p>
    <w:p>
      <w:r>
        <w:rPr>
          <w:b/>
          <w:color w:val="5B6DE4"/>
        </w:rPr>
        <w:t xml:space="preserve">⑤  </w:t>
      </w:r>
      <w:r>
        <w:t>趋势 5：数字政府建设强调一体化推进，政务数据共享和业务协同进入深水区。</w:t>
      </w:r>
    </w:p>
    <w:p>
      <w:r>
        <w:rPr>
          <w:b/>
          <w:color w:val="5B6DE4"/>
        </w:rPr>
        <w:t xml:space="preserve">⑥  </w:t>
      </w:r>
      <w:r>
        <w:t>趋势 6：数据跨境流动安全评估规则细化，企业合规成本与数据流动效率需平衡。</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