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生成日期：2026-09-18　　数据 · 算力 · 信息化</w:t>
      </w:r>
    </w:p>
    <w:p/>
    <w:p>
      <w:pPr>
        <w:pStyle w:val="Heading1"/>
      </w:pPr>
      <w:r>
        <w:rPr>
          <w:color w:val="5B6DE4"/>
          <w:sz w:val="28"/>
        </w:rPr>
        <w:t>一、过去 24 小时关键政策</w:t>
      </w:r>
    </w:p>
    <w:p>
      <w:r>
        <w:rPr>
          <w:b/>
          <w:sz w:val="24"/>
        </w:rPr>
        <w:t>《数字乡村高质量发展行动计划（2026—2030年）》</w:t>
      </w:r>
    </w:p>
    <w:p>
      <w:r>
        <w:rPr>
          <w:color w:val="646464"/>
          <w:sz w:val="20"/>
        </w:rPr>
        <w:t>文　　号：暂无</w:t>
        <w:br/>
        <w:t>发文机关：中央网信办等</w:t>
        <w:br/>
        <w:t>发文日期：2026-09-11</w:t>
        <w:br/>
        <w:t>原文链接：https://www.cac.gov.cn/wxzw/zcfg/A093703index_1.htm</w:t>
      </w:r>
    </w:p>
    <w:p>
      <w:pPr>
        <w:ind w:left="240"/>
      </w:pPr>
      <w:r>
        <w:t>部署未来五年数字乡村建设，推进乡村数字基础设施与数据要素融合应用。</w:t>
      </w:r>
    </w:p>
    <w:p>
      <w:pPr>
        <w:spacing w:before="0" w:after="80"/>
        <w:pBdr>
          <w:bottom w:val="single" w:sz="4" w:space="1" w:color="DDDDDD"/>
        </w:pBdr>
      </w:pPr>
    </w:p>
    <w:p>
      <w:r>
        <w:rPr>
          <w:b/>
          <w:sz w:val="24"/>
        </w:rPr>
        <w:t>《2026年国家网络安全宣传周网络安全技术高峰论坛在济南举行》</w:t>
      </w:r>
    </w:p>
    <w:p>
      <w:r>
        <w:rPr>
          <w:color w:val="646464"/>
          <w:sz w:val="20"/>
        </w:rPr>
        <w:t>文　　号：暂无</w:t>
        <w:br/>
        <w:t>发文机关：中央网信办</w:t>
        <w:br/>
        <w:t>发文日期：2026-09-15</w:t>
        <w:br/>
        <w:t>原文链接：https://wap.cac.gov.cn/phoneindex.htm</w:t>
      </w:r>
    </w:p>
    <w:p>
      <w:pPr>
        <w:ind w:left="240"/>
      </w:pPr>
      <w:r>
        <w:t>聚焦网络安全技术前沿，发布近期网络安全与数据安全相关工作情况。</w:t>
      </w:r>
    </w:p>
    <w:p>
      <w:pPr>
        <w:spacing w:before="0" w:after="80"/>
        <w:pBdr>
          <w:bottom w:val="single" w:sz="4" w:space="1" w:color="DDDDDD"/>
        </w:pBdr>
      </w:pPr>
    </w:p>
    <w:p>
      <w:r>
        <w:rPr>
          <w:b/>
          <w:sz w:val="24"/>
        </w:rPr>
        <w:t>《国家网信办发布近期网络安全、数据安全工作情况通报》</w:t>
      </w:r>
    </w:p>
    <w:p>
      <w:r>
        <w:rPr>
          <w:color w:val="646464"/>
          <w:sz w:val="20"/>
        </w:rPr>
        <w:t>文　　号：暂无</w:t>
        <w:br/>
        <w:t>发文机关：国家互联网信息办公室</w:t>
        <w:br/>
        <w:t>发文日期：2026-09-15</w:t>
        <w:br/>
        <w:t>原文链接：https://wap.cac.gov.cn/phoneindex.htm</w:t>
      </w:r>
    </w:p>
    <w:p>
      <w:pPr>
        <w:ind w:left="240"/>
      </w:pPr>
      <w:r>
        <w:t>通报近期网络安全与数据安全监管情况，部署下一阶段重点工作。</w:t>
      </w:r>
    </w:p>
    <w:p>
      <w:pPr>
        <w:spacing w:before="0" w:after="80"/>
        <w:pBdr>
          <w:bottom w:val="single" w:sz="4" w:space="1" w:color="DDDDDD"/>
        </w:pBdr>
      </w:pPr>
    </w:p>
    <w:p>
      <w:r>
        <w:rPr>
          <w:b/>
          <w:sz w:val="24"/>
        </w:rPr>
        <w:t>《数字化绿色化协同转型发展纵深推进专家解读》</w:t>
      </w:r>
    </w:p>
    <w:p>
      <w:r>
        <w:rPr>
          <w:color w:val="646464"/>
          <w:sz w:val="20"/>
        </w:rPr>
        <w:t>文　　号：暂无</w:t>
        <w:br/>
        <w:t>发文机关：中央网信办</w:t>
        <w:br/>
        <w:t>发文日期：2026-09-11</w:t>
        <w:br/>
        <w:t>原文链接：https://www.cac.gov.cn/wxzw/zcfg/A093703index_1.htm</w:t>
      </w:r>
    </w:p>
    <w:p>
      <w:pPr>
        <w:ind w:left="240"/>
      </w:pPr>
      <w:r>
        <w:t>解读数字化绿色化协同转型方向，强调智能化、绿色化、融合化发展路径。</w:t>
      </w:r>
    </w:p>
    <w:p>
      <w:pPr>
        <w:spacing w:before="0" w:after="80"/>
        <w:pBdr>
          <w:bottom w:val="single" w:sz="4" w:space="1" w:color="DDDDDD"/>
        </w:pBdr>
      </w:pPr>
    </w:p>
    <w:p>
      <w:r>
        <w:rPr>
          <w:b/>
          <w:sz w:val="24"/>
        </w:rPr>
        <w:t>《高质量推进数字乡村建设专家解读》</w:t>
      </w:r>
    </w:p>
    <w:p>
      <w:r>
        <w:rPr>
          <w:color w:val="646464"/>
          <w:sz w:val="20"/>
        </w:rPr>
        <w:t>文　　号：暂无</w:t>
        <w:br/>
        <w:t>发文机关：中央网信办</w:t>
        <w:br/>
        <w:t>发文日期：2026-09-11</w:t>
        <w:br/>
        <w:t>原文链接：https://www.cac.gov.cn/wxzw/zcfg/A093703index_1.htm</w:t>
      </w:r>
    </w:p>
    <w:p>
      <w:pPr>
        <w:ind w:left="240"/>
      </w:pPr>
      <w:r>
        <w:t>围绕数字乡村高质量发展行动计划，解读建设重点与实施路径。</w:t>
      </w:r>
    </w:p>
    <w:p>
      <w:pPr>
        <w:spacing w:before="0" w:after="80"/>
        <w:pBdr>
          <w:bottom w:val="single" w:sz="4" w:space="1" w:color="DDDDDD"/>
        </w:pBdr>
      </w:pPr>
    </w:p>
    <w:p>
      <w:r>
        <w:rPr>
          <w:b/>
          <w:sz w:val="24"/>
        </w:rPr>
        <w:t>《工业和信息化部等九部门印发智能网联新能源汽车产业发展十五五规划》</w:t>
      </w:r>
    </w:p>
    <w:p>
      <w:r>
        <w:rPr>
          <w:color w:val="646464"/>
          <w:sz w:val="20"/>
        </w:rPr>
        <w:t>文　　号：暂无</w:t>
        <w:br/>
        <w:t>发文机关：工业和信息化部等九部门</w:t>
        <w:br/>
        <w:t>发文日期：2026-09-11</w:t>
        <w:br/>
        <w:t>原文链接：https://www.miit.gov.cn/</w:t>
      </w:r>
    </w:p>
    <w:p>
      <w:pPr>
        <w:ind w:left="240"/>
      </w:pPr>
      <w:r>
        <w:t>部署智能网联新能源汽车产业十五五发展，涉及车联网与数据安全要求。</w:t>
      </w:r>
    </w:p>
    <w:p>
      <w:pPr>
        <w:spacing w:before="0" w:after="80"/>
        <w:pBdr>
          <w:bottom w:val="single" w:sz="4" w:space="1" w:color="DDDDDD"/>
        </w:pBdr>
      </w:pPr>
    </w:p>
    <w:p/>
    <w:p>
      <w:pPr>
        <w:pStyle w:val="Heading1"/>
      </w:pPr>
      <w:r>
        <w:rPr>
          <w:color w:val="5B6DE4"/>
          <w:sz w:val="28"/>
        </w:rPr>
        <w:t>二、过去一个月主要政策动向</w:t>
      </w:r>
    </w:p>
    <w:p>
      <w:r>
        <w:rPr>
          <w:b/>
          <w:sz w:val="24"/>
        </w:rPr>
        <w:t>《人工智能+软件专项行动实施方案》</w:t>
      </w:r>
    </w:p>
    <w:p>
      <w:r>
        <w:rPr>
          <w:color w:val="646464"/>
          <w:sz w:val="20"/>
        </w:rPr>
        <w:t>文　　号：工信部信发〔2026〕209号</w:t>
        <w:br/>
        <w:t>发文机关：工业和信息化部</w:t>
        <w:br/>
        <w:t>发文日期：2026-09-02</w:t>
        <w:br/>
        <w:t>原文链接：https://www.miit.gov.cn/</w:t>
      </w:r>
    </w:p>
    <w:p>
      <w:pPr>
        <w:ind w:left="240"/>
      </w:pPr>
      <w:r>
        <w:t>推动人工智能与软件产业深度融合，明确专项行动目标与重点任务。</w:t>
      </w:r>
    </w:p>
    <w:p>
      <w:pPr>
        <w:spacing w:before="0" w:after="80"/>
        <w:pBdr>
          <w:bottom w:val="single" w:sz="4" w:space="1" w:color="DDDDDD"/>
        </w:pBdr>
      </w:pPr>
    </w:p>
    <w:p>
      <w:r>
        <w:rPr>
          <w:b/>
          <w:sz w:val="24"/>
        </w:rPr>
        <w:t>《国家信息化发展报告（2025年）》</w:t>
      </w:r>
    </w:p>
    <w:p>
      <w:r>
        <w:rPr>
          <w:color w:val="646464"/>
          <w:sz w:val="20"/>
        </w:rPr>
        <w:t>文　　号：暂无</w:t>
        <w:br/>
        <w:t>发文机关：国家互联网信息办公室</w:t>
        <w:br/>
        <w:t>发文日期：2026-08-07</w:t>
        <w:br/>
        <w:t>原文链接：https://www.cac.gov.cn/wxzw/wxfb/A093702index_1.htm</w:t>
      </w:r>
    </w:p>
    <w:p>
      <w:pPr>
        <w:ind w:left="240"/>
      </w:pPr>
      <w:r>
        <w:t>总结2025年国家信息化发展成效，分析数字中国建设进展与趋势。</w:t>
      </w:r>
    </w:p>
    <w:p>
      <w:pPr>
        <w:spacing w:before="0" w:after="80"/>
        <w:pBdr>
          <w:bottom w:val="single" w:sz="4" w:space="1" w:color="DDDDDD"/>
        </w:pBdr>
      </w:pPr>
    </w:p>
    <w:p>
      <w:r>
        <w:rPr>
          <w:b/>
          <w:sz w:val="24"/>
        </w:rPr>
        <w:t>《小型个人信息处理者个人信息保护简化措施规定》</w:t>
      </w:r>
    </w:p>
    <w:p>
      <w:r>
        <w:rPr>
          <w:color w:val="646464"/>
          <w:sz w:val="20"/>
        </w:rPr>
        <w:t>文　　号：暂无</w:t>
        <w:br/>
        <w:t>发文机关：国家网信办、公安部</w:t>
        <w:br/>
        <w:t>发文日期：2026-07-24</w:t>
        <w:br/>
        <w:t>原文链接：https://www.cac.gov.cn/wxzw/wxfb/A093702index_1.htm</w:t>
      </w:r>
    </w:p>
    <w:p>
      <w:pPr>
        <w:ind w:left="240"/>
      </w:pPr>
      <w:r>
        <w:t>针对小型个人信息处理者制定简化保护措施，降低合规成本。</w:t>
      </w:r>
    </w:p>
    <w:p>
      <w:pPr>
        <w:spacing w:before="0" w:after="80"/>
        <w:pBdr>
          <w:bottom w:val="single" w:sz="4" w:space="1" w:color="DDDDDD"/>
        </w:pBdr>
      </w:pPr>
    </w:p>
    <w:p>
      <w:r>
        <w:rPr>
          <w:b/>
          <w:sz w:val="24"/>
        </w:rPr>
        <w:t>《深化互联网协议第六版（IPv6）技术创新和融合应用实施方案（2026—2030年）》</w:t>
      </w:r>
    </w:p>
    <w:p>
      <w:r>
        <w:rPr>
          <w:color w:val="646464"/>
          <w:sz w:val="20"/>
        </w:rPr>
        <w:t>文　　号：暂无</w:t>
        <w:br/>
        <w:t>发文机关：中央网信办等</w:t>
        <w:br/>
        <w:t>发文日期：2026-07-21</w:t>
        <w:br/>
        <w:t>原文链接：https://www.cac.gov.cn/</w:t>
      </w:r>
    </w:p>
    <w:p>
      <w:pPr>
        <w:ind w:left="240"/>
      </w:pPr>
      <w:r>
        <w:t>部署IPv6技术创新与融合应用，推进下一代互联网规模部署。</w:t>
      </w:r>
    </w:p>
    <w:p>
      <w:pPr>
        <w:spacing w:before="0" w:after="80"/>
        <w:pBdr>
          <w:bottom w:val="single" w:sz="4" w:space="1" w:color="DDDDDD"/>
        </w:pBdr>
      </w:pPr>
    </w:p>
    <w:p>
      <w:r>
        <w:rPr>
          <w:b/>
          <w:sz w:val="24"/>
        </w:rPr>
        <w:t>《数据出境安全管理政策法规问答（2026年7月）》</w:t>
      </w:r>
    </w:p>
    <w:p>
      <w:r>
        <w:rPr>
          <w:color w:val="646464"/>
          <w:sz w:val="20"/>
        </w:rPr>
        <w:t>文　　号：暂无</w:t>
        <w:br/>
        <w:t>发文机关：国家网信办</w:t>
        <w:br/>
        <w:t>发文日期：2026-07-24</w:t>
        <w:br/>
        <w:t>原文链接：https://www.cac.gov.cn/</w:t>
      </w:r>
    </w:p>
    <w:p>
      <w:pPr>
        <w:ind w:left="240"/>
      </w:pPr>
      <w:r>
        <w:t>以问答形式明确数据出境安全管理政策适用，指导企业合规申报。</w:t>
      </w:r>
    </w:p>
    <w:p>
      <w:pPr>
        <w:spacing w:before="0" w:after="80"/>
        <w:pBdr>
          <w:bottom w:val="single" w:sz="4" w:space="1" w:color="DDDDDD"/>
        </w:pBdr>
      </w:pPr>
    </w:p>
    <w:p/>
    <w:p>
      <w:pPr>
        <w:pStyle w:val="Heading1"/>
      </w:pPr>
      <w:r>
        <w:rPr>
          <w:color w:val="5B6DE4"/>
          <w:sz w:val="28"/>
        </w:rPr>
        <w:t>三、今年以来主要政策</w:t>
      </w:r>
    </w:p>
    <w:p>
      <w:r>
        <w:rPr>
          <w:b/>
          <w:sz w:val="24"/>
        </w:rPr>
        <w:t>《数字中国建设整体布局规划实施进展评估》</w:t>
      </w:r>
    </w:p>
    <w:p>
      <w:r>
        <w:rPr>
          <w:color w:val="646464"/>
          <w:sz w:val="20"/>
        </w:rPr>
        <w:t>文　　号：暂无</w:t>
        <w:br/>
        <w:t>发文机关：国家数据局</w:t>
        <w:br/>
        <w:t>发文日期：2026-03-15</w:t>
      </w:r>
    </w:p>
    <w:p>
      <w:pPr>
        <w:ind w:left="240"/>
      </w:pPr>
      <w:r>
        <w:t>评估数字中国建设整体布局规划实施进展，部署下一阶段重点任务。</w:t>
      </w:r>
    </w:p>
    <w:p>
      <w:pPr>
        <w:spacing w:before="0" w:after="80"/>
        <w:pBdr>
          <w:bottom w:val="single" w:sz="4" w:space="1" w:color="DDDDDD"/>
        </w:pBdr>
      </w:pPr>
    </w:p>
    <w:p>
      <w:r>
        <w:rPr>
          <w:b/>
          <w:sz w:val="24"/>
        </w:rPr>
        <w:t>《数据要素×三年行动计划（2024—2026年）收官工作通知》</w:t>
      </w:r>
    </w:p>
    <w:p>
      <w:r>
        <w:rPr>
          <w:color w:val="646464"/>
          <w:sz w:val="20"/>
        </w:rPr>
        <w:t>文　　号：暂无</w:t>
        <w:br/>
        <w:t>发文机关：国家数据局等</w:t>
        <w:br/>
        <w:t>发文日期：2026-04-10</w:t>
      </w:r>
    </w:p>
    <w:p>
      <w:pPr>
        <w:ind w:left="240"/>
      </w:pPr>
      <w:r>
        <w:t>部署数据要素×三年行动收官工作，推动数据要素价值释放。</w:t>
      </w:r>
    </w:p>
    <w:p>
      <w:pPr>
        <w:spacing w:before="0" w:after="80"/>
        <w:pBdr>
          <w:bottom w:val="single" w:sz="4" w:space="1" w:color="DDDDDD"/>
        </w:pBdr>
      </w:pPr>
    </w:p>
    <w:p>
      <w:r>
        <w:rPr>
          <w:b/>
          <w:sz w:val="24"/>
        </w:rPr>
        <w:t>《关于促进数据产业高质量发展的指导意见》</w:t>
      </w:r>
    </w:p>
    <w:p>
      <w:r>
        <w:rPr>
          <w:color w:val="646464"/>
          <w:sz w:val="20"/>
        </w:rPr>
        <w:t>文　　号：暂无</w:t>
        <w:br/>
        <w:t>发文机关：国家数据局</w:t>
        <w:br/>
        <w:t>发文日期：2026-01-20</w:t>
      </w:r>
    </w:p>
    <w:p>
      <w:pPr>
        <w:ind w:left="240"/>
      </w:pPr>
      <w:r>
        <w:t>提出促进数据产业高质量发展举措，培育数据要素市场。</w:t>
      </w:r>
    </w:p>
    <w:p>
      <w:pPr>
        <w:spacing w:before="0" w:after="80"/>
        <w:pBdr>
          <w:bottom w:val="single" w:sz="4" w:space="1" w:color="DDDDDD"/>
        </w:pBdr>
      </w:pPr>
    </w:p>
    <w:p>
      <w:r>
        <w:rPr>
          <w:b/>
          <w:sz w:val="24"/>
        </w:rPr>
        <w:t>《算力基础设施高质量发展行动计划2026年度工作要点》</w:t>
      </w:r>
    </w:p>
    <w:p>
      <w:r>
        <w:rPr>
          <w:color w:val="646464"/>
          <w:sz w:val="20"/>
        </w:rPr>
        <w:t>文　　号：暂无</w:t>
        <w:br/>
        <w:t>发文机关：工业和信息化部等</w:t>
        <w:br/>
        <w:t>发文日期：2026-02-25</w:t>
      </w:r>
    </w:p>
    <w:p>
      <w:pPr>
        <w:ind w:left="240"/>
      </w:pPr>
      <w:r>
        <w:t>明确2026年算力基础设施高质量发展重点任务，优化算力布局。</w:t>
      </w:r>
    </w:p>
    <w:p>
      <w:pPr>
        <w:spacing w:before="0" w:after="80"/>
        <w:pBdr>
          <w:bottom w:val="single" w:sz="4" w:space="1" w:color="DDDDDD"/>
        </w:pBdr>
      </w:pPr>
    </w:p>
    <w:p>
      <w:r>
        <w:rPr>
          <w:b/>
          <w:sz w:val="24"/>
        </w:rPr>
        <w:t>《生成式人工智能服务安全基本要求》</w:t>
      </w:r>
    </w:p>
    <w:p>
      <w:r>
        <w:rPr>
          <w:color w:val="646464"/>
          <w:sz w:val="20"/>
        </w:rPr>
        <w:t>文　　号：暂无</w:t>
        <w:br/>
        <w:t>发文机关：全国网络安全标准化技术委员会</w:t>
        <w:br/>
        <w:t>发文日期：2026-03-01</w:t>
      </w:r>
    </w:p>
    <w:p>
      <w:pPr>
        <w:ind w:left="240"/>
      </w:pPr>
      <w:r>
        <w:t>规定生成式人工智能服务安全基本要求，涵盖语料与内容安全。</w:t>
      </w:r>
    </w:p>
    <w:p>
      <w:pPr>
        <w:spacing w:before="0" w:after="80"/>
        <w:pBdr>
          <w:bottom w:val="single" w:sz="4" w:space="1" w:color="DDDDDD"/>
        </w:pBdr>
      </w:pPr>
    </w:p>
    <w:p>
      <w:r>
        <w:rPr>
          <w:b/>
          <w:sz w:val="24"/>
        </w:rPr>
        <w:t>《上海市数据条例实施细则》</w:t>
      </w:r>
    </w:p>
    <w:p>
      <w:r>
        <w:rPr>
          <w:color w:val="646464"/>
          <w:sz w:val="20"/>
        </w:rPr>
        <w:t>文　　号：暂无</w:t>
        <w:br/>
        <w:t>发文机关：上海市人民政府</w:t>
        <w:br/>
        <w:t>发文日期：2026-05-12</w:t>
      </w:r>
    </w:p>
    <w:p>
      <w:pPr>
        <w:ind w:left="240"/>
      </w:pPr>
      <w:r>
        <w:t>细化上海市数据条例实施要求，规范数据流通交易与安全管理。</w:t>
      </w:r>
    </w:p>
    <w:p>
      <w:pPr>
        <w:spacing w:before="0" w:after="80"/>
        <w:pBdr>
          <w:bottom w:val="single" w:sz="4" w:space="1" w:color="DDDDDD"/>
        </w:pBdr>
      </w:pPr>
    </w:p>
    <w:p>
      <w:r>
        <w:rPr>
          <w:b/>
          <w:sz w:val="24"/>
        </w:rPr>
        <w:t>《广东省数据要素市场化配置改革行动方案》</w:t>
      </w:r>
    </w:p>
    <w:p>
      <w:r>
        <w:rPr>
          <w:color w:val="646464"/>
          <w:sz w:val="20"/>
        </w:rPr>
        <w:t>文　　号：暂无</w:t>
        <w:br/>
        <w:t>发文机关：广东省人民政府</w:t>
        <w:br/>
        <w:t>发文日期：2026-04-18</w:t>
      </w:r>
    </w:p>
    <w:p>
      <w:pPr>
        <w:ind w:left="240"/>
      </w:pPr>
      <w:r>
        <w:t>推进数据要素市场化配置改革，建设数据要素市场体系。</w:t>
      </w:r>
    </w:p>
    <w:p>
      <w:pPr>
        <w:spacing w:before="0" w:after="80"/>
        <w:pBdr>
          <w:bottom w:val="single" w:sz="4" w:space="1" w:color="DDDDDD"/>
        </w:pBdr>
      </w:pPr>
    </w:p>
    <w:p>
      <w:r>
        <w:rPr>
          <w:b/>
          <w:sz w:val="24"/>
        </w:rPr>
        <w:t>《江苏省数字经济促进条例》</w:t>
      </w:r>
    </w:p>
    <w:p>
      <w:r>
        <w:rPr>
          <w:color w:val="646464"/>
          <w:sz w:val="20"/>
        </w:rPr>
        <w:t>文　　号：暂无</w:t>
        <w:br/>
        <w:t>发文机关：江苏省人大常委会</w:t>
        <w:br/>
        <w:t>发文日期：2026-03-28</w:t>
      </w:r>
    </w:p>
    <w:p>
      <w:pPr>
        <w:ind w:left="240"/>
      </w:pPr>
      <w:r>
        <w:t>以地方立法促进数字经济发展，规范数字产业与数字化转型。</w:t>
      </w:r>
    </w:p>
    <w:p>
      <w:pPr>
        <w:spacing w:before="0" w:after="80"/>
        <w:pBdr>
          <w:bottom w:val="single" w:sz="4" w:space="1" w:color="DDDDDD"/>
        </w:pBdr>
      </w:pPr>
    </w:p>
    <w:p>
      <w:r>
        <w:rPr>
          <w:b/>
          <w:sz w:val="24"/>
        </w:rPr>
        <w:t>《浙江省公共数据授权运营管理办法》</w:t>
      </w:r>
    </w:p>
    <w:p>
      <w:r>
        <w:rPr>
          <w:color w:val="646464"/>
          <w:sz w:val="20"/>
        </w:rPr>
        <w:t>文　　号：暂无</w:t>
        <w:br/>
        <w:t>发文机关：浙江省人民政府</w:t>
        <w:br/>
        <w:t>发文日期：2026-06-05</w:t>
      </w:r>
    </w:p>
    <w:p>
      <w:pPr>
        <w:ind w:left="240"/>
      </w:pPr>
      <w:r>
        <w:t>规范公共数据授权运营，明确授权主体、运营机制与安全责任。</w:t>
      </w:r>
    </w:p>
    <w:p>
      <w:pPr>
        <w:spacing w:before="0" w:after="80"/>
        <w:pBdr>
          <w:bottom w:val="single" w:sz="4" w:space="1" w:color="DDDDDD"/>
        </w:pBdr>
      </w:pPr>
    </w:p>
    <w:p>
      <w:r>
        <w:rPr>
          <w:b/>
          <w:sz w:val="24"/>
        </w:rPr>
        <w:t>《辽宁省数字经济发展三年行动方案（2026—2028年）》</w:t>
      </w:r>
    </w:p>
    <w:p>
      <w:r>
        <w:rPr>
          <w:color w:val="646464"/>
          <w:sz w:val="20"/>
        </w:rPr>
        <w:t>文　　号：暂无</w:t>
        <w:br/>
        <w:t>发文机关：辽宁省人民政府</w:t>
        <w:br/>
        <w:t>发文日期：2026-05-20</w:t>
      </w:r>
    </w:p>
    <w:p>
      <w:pPr>
        <w:ind w:left="240"/>
      </w:pPr>
      <w:r>
        <w:t>部署辽宁数字经济发展三年行动，推动工业数字化转型。</w:t>
      </w:r>
    </w:p>
    <w:p>
      <w:pPr>
        <w:spacing w:before="0" w:after="80"/>
        <w:pBdr>
          <w:bottom w:val="single" w:sz="4" w:space="1" w:color="DDDDDD"/>
        </w:pBdr>
      </w:pPr>
    </w:p>
    <w:p>
      <w:r>
        <w:rPr>
          <w:b/>
          <w:sz w:val="24"/>
        </w:rPr>
        <w:t>《欧盟人工智能法案通用人工智能模型义务实施指南》</w:t>
      </w:r>
    </w:p>
    <w:p>
      <w:r>
        <w:rPr>
          <w:color w:val="646464"/>
          <w:sz w:val="20"/>
        </w:rPr>
        <w:t>文　　号：暂无</w:t>
        <w:br/>
        <w:t>发文机关：欧盟委员会</w:t>
        <w:br/>
        <w:t>发文日期：2026-02-10</w:t>
      </w:r>
    </w:p>
    <w:p>
      <w:pPr>
        <w:ind w:left="240"/>
      </w:pPr>
      <w:r>
        <w:t>发布通用人工智能模型义务实施指南，明确合规要求与时间表。</w:t>
      </w:r>
    </w:p>
    <w:p>
      <w:pPr>
        <w:spacing w:before="0" w:after="80"/>
        <w:pBdr>
          <w:bottom w:val="single" w:sz="4" w:space="1" w:color="DDDDDD"/>
        </w:pBdr>
      </w:pPr>
    </w:p>
    <w:p>
      <w:r>
        <w:rPr>
          <w:b/>
          <w:sz w:val="24"/>
        </w:rPr>
        <w:t>《美国人工智能风险管理框架扩展指南》</w:t>
      </w:r>
    </w:p>
    <w:p>
      <w:r>
        <w:rPr>
          <w:color w:val="646464"/>
          <w:sz w:val="20"/>
        </w:rPr>
        <w:t>文　　号：暂无</w:t>
        <w:br/>
        <w:t>发文机关：美国国家标准与技术研究院（NIST）</w:t>
        <w:br/>
        <w:t>发文日期：2026-01-15</w:t>
      </w:r>
    </w:p>
    <w:p>
      <w:pPr>
        <w:ind w:left="240"/>
      </w:pPr>
      <w:r>
        <w:t>扩展人工智能风险管理框架，新增生成式AI风险管理指引。</w:t>
      </w:r>
    </w:p>
    <w:p>
      <w:pPr>
        <w:spacing w:before="0" w:after="80"/>
        <w:pBdr>
          <w:bottom w:val="single" w:sz="4" w:space="1" w:color="DDDDDD"/>
        </w:pBdr>
      </w:pPr>
    </w:p>
    <w:p>
      <w:r>
        <w:rPr>
          <w:b/>
          <w:sz w:val="24"/>
        </w:rPr>
        <w:t>《日本人工智能推进法实施令》</w:t>
      </w:r>
    </w:p>
    <w:p>
      <w:r>
        <w:rPr>
          <w:color w:val="646464"/>
          <w:sz w:val="20"/>
        </w:rPr>
        <w:t>文　　号：暂无</w:t>
        <w:br/>
        <w:t>发文机关：日本内阁府</w:t>
        <w:br/>
        <w:t>发文日期：2026-04-01</w:t>
      </w:r>
    </w:p>
    <w:p>
      <w:pPr>
        <w:ind w:left="240"/>
      </w:pPr>
      <w:r>
        <w:t>发布人工智能推进法实施令，明确AI研发与应用促进措施。</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2026年9月，国家网信办密集发布数字乡村、数字化绿色化协同转型等政策解读，并通报近期网络安全与数据安全工作。逻辑：这体现了“数字中国”建设从顶层设计转向领域落地，通过专项行动计划与专家解读形成政策传导机制，同时以安全通报强化合规压力。研判：预计四季度将出台更多细分领域行动计划，数据安全与网络安全审查将常态化，企业需提前建立数据分类分级与安全评估机制。</w:t>
      </w:r>
    </w:p>
    <w:p>
      <w:r>
        <w:rPr>
          <w:b/>
          <w:color w:val="5B6DE4"/>
        </w:rPr>
        <w:t xml:space="preserve">②  </w:t>
      </w:r>
      <w:r>
        <w:t>现象：工信部印发《“人工智能+软件”专项行动实施方案》（工信部信发〔2026〕209号），推动AI与软件产业深度融合。逻辑：此举意在抢占人工智能应用制高点，通过软件产业为载体加速AI技术落地，同时带动传统软件企业转型。研判：后续可能出台配套财税优惠与标准规范，AI软件产品将面临更严格的安全与伦理审查，行业洗牌加速。</w:t>
      </w:r>
    </w:p>
    <w:p>
      <w:r>
        <w:rPr>
          <w:b/>
          <w:color w:val="5B6DE4"/>
        </w:rPr>
        <w:t xml:space="preserve">③  </w:t>
      </w:r>
      <w:r>
        <w:t>现象：国家网信办发布《人工智能拟人化互动服务管理暂行办法》（令第21号），自2026年7月15日起施行。逻辑：针对AI拟人化互动服务快速普及带来的伦理与安全风险，监管部门及时填补制度空白，明确服务提供者义务。研判：该办法将推动AI服务合规化，但可能增加中小企业合规成本，未来需关注实施细则与执法案例。</w:t>
      </w:r>
    </w:p>
    <w:p>
      <w:r>
        <w:rPr>
          <w:b/>
          <w:color w:val="5B6DE4"/>
        </w:rPr>
        <w:t xml:space="preserve">④  </w:t>
      </w:r>
      <w:r>
        <w:t>现象：国家网信办、公安部联合公布《小型个人信息处理者个人信息保护简化措施规定》。逻辑：在个人信息保护法框架下，针对小型处理者合规能力不足的问题，采取差异化监管，降低合规门槛。研判：这有助于激发中小微企业数字活力，但需防范简化措施被滥用，未来可能配套抽查与信用监管机制。</w:t>
      </w:r>
    </w:p>
    <w:p>
      <w:r>
        <w:rPr>
          <w:b/>
          <w:color w:val="5B6DE4"/>
        </w:rPr>
        <w:t xml:space="preserve">⑤  </w:t>
      </w:r>
      <w:r>
        <w:t>现象：中央网信办等发布《深化互联网协议第六版（IPv6）技术创新和融合应用实施方案（2026—2030年）》。逻辑：IPv6是下一代互联网的基础，政策旨在推动规模部署与技术创新，支撑数字经济与网络安全。研判：预计运营商与云服务商将加快IPv6改造，相关设备与软件企业迎来市场机遇，但安全防护体系需同步升级。</w:t>
      </w:r>
    </w:p>
    <w:p>
      <w:r>
        <w:rPr>
          <w:b/>
          <w:color w:val="5B6DE4"/>
        </w:rPr>
        <w:t xml:space="preserve">⑥  </w:t>
      </w:r>
      <w:r>
        <w:t>现象：国际比较：欧盟发布《人工智能法案》通用人工智能模型义务实施指南，美国NIST扩展AI风险管理框架，日本实施《人工智能推进法》。逻辑：全球主要经济体均在抢占AI治理规则主导权，欧盟侧重风险分级与合规，美国侧重标准与框架，日本侧重促进与自律。研判：中国应借鉴欧盟风险分级思路，完善生成式AI安全标准，同时保持产业创新活力，避免过度监管抑制发展。</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