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生成日期：2026-10-17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《关于深入实施“人工智能+”行动的意见》</w:t>
      </w:r>
    </w:p>
    <w:p>
      <w:r>
        <w:rPr>
          <w:color w:val="646464"/>
          <w:sz w:val="20"/>
        </w:rPr>
        <w:t>文　　号：国发〔2026〕23号</w:t>
        <w:br/>
        <w:t>发文机关：国务院</w:t>
        <w:br/>
        <w:t>发文日期：2026-10-15</w:t>
      </w:r>
    </w:p>
    <w:p>
      <w:pPr>
        <w:ind w:left="240"/>
      </w:pPr>
      <w:r>
        <w:t>部署六大重点行动，推动AI与制造、消费、治理深度融合，强化算力数据支撑。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《国家数据局关于促进数据产业高质量发展的指导意见》</w:t>
      </w:r>
    </w:p>
    <w:p>
      <w:r>
        <w:rPr>
          <w:color w:val="646464"/>
          <w:sz w:val="20"/>
        </w:rPr>
        <w:t>文　　号：国数〔2026〕18号</w:t>
        <w:br/>
        <w:t>发文机关：国家数据局</w:t>
        <w:br/>
        <w:t>发文日期：2026-10-14</w:t>
      </w:r>
    </w:p>
    <w:p>
      <w:pPr>
        <w:ind w:left="240"/>
      </w:pPr>
      <w:r>
        <w:t>培育数据资源、技术、服务、应用、安全、基础设施六类产业，明确扶持政策。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《工业和信息化部关于推进算力互联互通和调度平台建设的通知》</w:t>
      </w:r>
    </w:p>
    <w:p>
      <w:r>
        <w:rPr>
          <w:color w:val="646464"/>
          <w:sz w:val="20"/>
        </w:rPr>
        <w:t>文　　号：工信部通信〔2026〕156号</w:t>
        <w:br/>
        <w:t>发文机关：工业和信息化部</w:t>
        <w:br/>
        <w:t>发文日期：2026-10-16</w:t>
      </w:r>
    </w:p>
    <w:p>
      <w:pPr>
        <w:ind w:left="240"/>
      </w:pPr>
      <w:r>
        <w:t>要求2027年底前建成国家算力调度平台，实现跨区域算力资源统一标识与调度。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《上海市促进人工智能大模型创新发展条例》</w:t>
      </w:r>
    </w:p>
    <w:p>
      <w:r>
        <w:rPr>
          <w:color w:val="646464"/>
          <w:sz w:val="20"/>
        </w:rPr>
        <w:t>文　　号：沪府令第18号</w:t>
        <w:br/>
        <w:t>发文机关：上海市人民政府</w:t>
        <w:br/>
        <w:t>发文日期：2026-10-15</w:t>
      </w:r>
    </w:p>
    <w:p>
      <w:pPr>
        <w:ind w:left="240"/>
      </w:pPr>
      <w:r>
        <w:t>全国首部大模型地方立法，明确训练数据合规、模型备案与安全评估要求。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《广东省数据要素市场化配置改革行动方案（2026-2028年）》</w:t>
      </w:r>
    </w:p>
    <w:p>
      <w:r>
        <w:rPr>
          <w:color w:val="646464"/>
          <w:sz w:val="20"/>
        </w:rPr>
        <w:t>文　　号：粤府办〔2026〕32号</w:t>
        <w:br/>
        <w:t>发文机关：广东省人民政府办公厅</w:t>
        <w:br/>
        <w:t>发文日期：2026-10-14</w:t>
      </w:r>
    </w:p>
    <w:p>
      <w:pPr>
        <w:ind w:left="240"/>
      </w:pPr>
      <w:r>
        <w:t>推动数据资产入表、数据经纪人试点，建设粤港澳大湾区数据流通枢纽。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《浙江省公共数据授权运营管理办法》</w:t>
      </w:r>
    </w:p>
    <w:p>
      <w:r>
        <w:rPr>
          <w:color w:val="646464"/>
          <w:sz w:val="20"/>
        </w:rPr>
        <w:t>文　　号：浙政办发〔2026〕45号</w:t>
        <w:br/>
        <w:t>发文机关：浙江省人民政府办公厅</w:t>
        <w:br/>
        <w:t>发文日期：2026-10-16</w:t>
      </w:r>
    </w:p>
    <w:p>
      <w:pPr>
        <w:ind w:left="240"/>
      </w:pPr>
      <w:r>
        <w:t>规范公共数据授权运营，建立收益分配机制，首批开放交通、医疗等场景。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《江苏省数字经济促进条例（修订草案）》</w:t>
      </w:r>
    </w:p>
    <w:p>
      <w:r>
        <w:rPr>
          <w:color w:val="646464"/>
          <w:sz w:val="20"/>
        </w:rPr>
        <w:t>文　　号：暂无</w:t>
        <w:br/>
        <w:t>发文机关：江苏省人大常委会</w:t>
        <w:br/>
        <w:t>发文日期：2026-10-15</w:t>
      </w:r>
    </w:p>
    <w:p>
      <w:pPr>
        <w:ind w:left="240"/>
      </w:pPr>
      <w:r>
        <w:t>新增数据要素市场、AI治理专章，拟设数字经济专项资金和容错机制。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《欧盟人工智能法案高风险系统合规指南》</w:t>
      </w:r>
    </w:p>
    <w:p>
      <w:r>
        <w:rPr>
          <w:color w:val="646464"/>
          <w:sz w:val="20"/>
        </w:rPr>
        <w:t>文　　号：C(2026)7120 final</w:t>
        <w:br/>
        <w:t>发文机关：欧盟委员会</w:t>
        <w:br/>
        <w:t>发文日期：2026-10-14</w:t>
      </w:r>
    </w:p>
    <w:p>
      <w:pPr>
        <w:ind w:left="240"/>
      </w:pPr>
      <w:r>
        <w:t>明确高风险AI系统 conformity assessment 流程及技术文档要求。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《关于加快构建全国一体化算力网的实施意见》</w:t>
      </w:r>
    </w:p>
    <w:p>
      <w:r>
        <w:rPr>
          <w:color w:val="646464"/>
          <w:sz w:val="20"/>
        </w:rPr>
        <w:t>文　　号：发改高技〔2026〕1280号</w:t>
        <w:br/>
        <w:t>发文机关：国家发展改革委、国家数据局等四部门</w:t>
        <w:br/>
        <w:t>发文日期：2026-09-28</w:t>
      </w:r>
    </w:p>
    <w:p>
      <w:pPr>
        <w:ind w:left="240"/>
      </w:pPr>
      <w:r>
        <w:t>提出到2028年建成全国一体化算力网，实现算力资源跨区域高效调度。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《生成式人工智能服务安全基本要求（修订版）》</w:t>
      </w:r>
    </w:p>
    <w:p>
      <w:r>
        <w:rPr>
          <w:color w:val="646464"/>
          <w:sz w:val="20"/>
        </w:rPr>
        <w:t>文　　号：TC260-003</w:t>
        <w:br/>
        <w:t>发文机关：全国网络安全标准化技术委员会</w:t>
        <w:br/>
        <w:t>发文日期：2026-09-25</w:t>
      </w:r>
    </w:p>
    <w:p>
      <w:pPr>
        <w:ind w:left="240"/>
      </w:pPr>
      <w:r>
        <w:t>新增语料安全、模型安全、输出安全细化指标，强化训练数据来源合规。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《数据出境安全评估申报指南（第三版）》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发文日期：2026-09-30</w:t>
      </w:r>
    </w:p>
    <w:p>
      <w:pPr>
        <w:ind w:left="240"/>
      </w:pPr>
      <w:r>
        <w:t>优化申报材料要求，明确自贸区负面清单外数据出境免评估情形。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《辽宁省数字经济发展三年行动方案（2026-2028年）》</w:t>
      </w:r>
    </w:p>
    <w:p>
      <w:r>
        <w:rPr>
          <w:color w:val="646464"/>
          <w:sz w:val="20"/>
        </w:rPr>
        <w:t>文　　号：辽政发〔2026〕19号</w:t>
        <w:br/>
        <w:t>发文机关：辽宁省人民政府</w:t>
        <w:br/>
        <w:t>发文日期：2026-10-08</w:t>
      </w:r>
    </w:p>
    <w:p>
      <w:pPr>
        <w:ind w:left="240"/>
      </w:pPr>
      <w:r>
        <w:t>聚焦工业数字化、算力基础设施，目标数字经济核心产业增加值占比达12%。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《上海市数据条例配套细则：数据交易场所管理实施办法》</w:t>
      </w:r>
    </w:p>
    <w:p>
      <w:r>
        <w:rPr>
          <w:color w:val="646464"/>
          <w:sz w:val="20"/>
        </w:rPr>
        <w:t>文　　号：沪数〔2026〕22号</w:t>
        <w:br/>
        <w:t>发文机关：上海市数据局</w:t>
        <w:br/>
        <w:t>发文日期：2026-09-22</w:t>
      </w:r>
    </w:p>
    <w:p>
      <w:pPr>
        <w:ind w:left="240"/>
      </w:pPr>
      <w:r>
        <w:t>规范数据交易场所设立、运营和监管，建立交易规则和争议解决机制。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《广东省人工智能赋能制造业高质量发展行动计划》</w:t>
      </w:r>
    </w:p>
    <w:p>
      <w:r>
        <w:rPr>
          <w:color w:val="646464"/>
          <w:sz w:val="20"/>
        </w:rPr>
        <w:t>文　　号：粤工信〔2026〕88号</w:t>
        <w:br/>
        <w:t>发文机关：广东省工业和信息化厅</w:t>
        <w:br/>
        <w:t>发文日期：2026-09-20</w:t>
      </w:r>
    </w:p>
    <w:p>
      <w:pPr>
        <w:ind w:left="240"/>
      </w:pPr>
      <w:r>
        <w:t>推动大模型在电子信息、家电、汽车等行业落地，建设50个示范工厂。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《浙江省数字政府2.0建设方案》</w:t>
      </w:r>
    </w:p>
    <w:p>
      <w:r>
        <w:rPr>
          <w:color w:val="646464"/>
          <w:sz w:val="20"/>
        </w:rPr>
        <w:t>文　　号：浙政发〔2026〕15号</w:t>
        <w:br/>
        <w:t>发文机关：浙江省人民政府</w:t>
        <w:br/>
        <w:t>发文日期：2026-09-18</w:t>
      </w:r>
    </w:p>
    <w:p>
      <w:pPr>
        <w:ind w:left="240"/>
      </w:pPr>
      <w:r>
        <w:t>以AI大模型驱动政务服务重构，实现“一网通办”向“智能秒办”升级。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《江苏省算力基础设施高质量发展行动计划》</w:t>
      </w:r>
    </w:p>
    <w:p>
      <w:r>
        <w:rPr>
          <w:color w:val="646464"/>
          <w:sz w:val="20"/>
        </w:rPr>
        <w:t>文　　号：苏工信〔2026〕102号</w:t>
        <w:br/>
        <w:t>发文机关：江苏省工业和信息化厅</w:t>
        <w:br/>
        <w:t>发文日期：2026-09-26</w:t>
      </w:r>
    </w:p>
    <w:p>
      <w:pPr>
        <w:ind w:left="240"/>
      </w:pPr>
      <w:r>
        <w:t>到2027年全省算力规模超20EFLOPS，智能算力占比超50%，优化布局。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《日本AI推进法施行令》</w:t>
      </w:r>
    </w:p>
    <w:p>
      <w:r>
        <w:rPr>
          <w:color w:val="646464"/>
          <w:sz w:val="20"/>
        </w:rPr>
        <w:t>文　　号：令和8年政令第312号</w:t>
        <w:br/>
        <w:t>发文机关：日本内阁府</w:t>
        <w:br/>
        <w:t>发文日期：2026-09-24</w:t>
      </w:r>
    </w:p>
    <w:p>
      <w:pPr>
        <w:ind w:left="240"/>
      </w:pPr>
      <w:r>
        <w:t>规定AI事业者义务、政府调查权限及违规罚则，设立AI战略本部。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《美国NIST人工智能风险管理框架生成式AI扩展文件》</w:t>
      </w:r>
    </w:p>
    <w:p>
      <w:r>
        <w:rPr>
          <w:color w:val="646464"/>
          <w:sz w:val="20"/>
        </w:rPr>
        <w:t>文　　号：NIST AI 600-2</w:t>
        <w:br/>
        <w:t>发文机关：美国国家标准与技术研究院</w:t>
        <w:br/>
        <w:t>发文日期：2026-09-19</w:t>
      </w:r>
    </w:p>
    <w:p>
      <w:pPr>
        <w:ind w:left="240"/>
      </w:pPr>
      <w:r>
        <w:t>针对生成式AI新增风险映射、测量与治理指南，强调红队测试与内容溯源。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《欧盟数据法案实施指南》</w:t>
      </w:r>
    </w:p>
    <w:p>
      <w:r>
        <w:rPr>
          <w:color w:val="646464"/>
          <w:sz w:val="20"/>
        </w:rPr>
        <w:t>文　　号：C(2026)6580 final</w:t>
        <w:br/>
        <w:t>发文机关：欧盟委员会</w:t>
        <w:br/>
        <w:t>发文日期：2026-09-17</w:t>
      </w:r>
    </w:p>
    <w:p>
      <w:pPr>
        <w:ind w:left="240"/>
      </w:pPr>
      <w:r>
        <w:t>明确数据共享、云切换、互操作等义务，2026年12月起全面适用。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《关于构建数据基础制度更好发挥数据要素作用的意见》</w:t>
      </w:r>
    </w:p>
    <w:p>
      <w:r>
        <w:rPr>
          <w:color w:val="646464"/>
          <w:sz w:val="20"/>
        </w:rPr>
        <w:t>文　　号：中发〔2026〕5号</w:t>
        <w:br/>
        <w:t>发文机关：中共中央、国务院</w:t>
        <w:br/>
        <w:t>发文日期：2026-01-10</w:t>
      </w:r>
    </w:p>
    <w:p>
      <w:pPr>
        <w:ind w:left="240"/>
      </w:pPr>
      <w:r>
        <w:t>数据二十条升级版，确立数据产权、流通交易、收益分配、安全治理框架。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《数字中国建设整体布局规划（2026年修订版）》</w:t>
      </w:r>
    </w:p>
    <w:p>
      <w:r>
        <w:rPr>
          <w:color w:val="646464"/>
          <w:sz w:val="20"/>
        </w:rPr>
        <w:t>文　　号：暂无</w:t>
        <w:br/>
        <w:t>发文机关：中共中央、国务院</w:t>
        <w:br/>
        <w:t>发文日期：2026-02-18</w:t>
      </w:r>
    </w:p>
    <w:p>
      <w:pPr>
        <w:ind w:left="240"/>
      </w:pPr>
      <w:r>
        <w:t>新增AI基础设施、数据要素市场、数字安全屏障三大专项，明确考核指标。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《算力基础设施高质量发展行动计划（2026-2028年）》</w:t>
      </w:r>
    </w:p>
    <w:p>
      <w:r>
        <w:rPr>
          <w:color w:val="646464"/>
          <w:sz w:val="20"/>
        </w:rPr>
        <w:t>文　　号：工信部联通信〔2026〕45号</w:t>
        <w:br/>
        <w:t>发文机关：工业和信息化部等六部门</w:t>
        <w:br/>
        <w:t>发文日期：2026-03-05</w:t>
      </w:r>
    </w:p>
    <w:p>
      <w:pPr>
        <w:ind w:left="240"/>
      </w:pPr>
      <w:r>
        <w:t>目标2028年算力规模超300EFLOPS，智能算力占比35%，优化东西部布局。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《人工智能生成合成内容标识办法》</w:t>
      </w:r>
    </w:p>
    <w:p>
      <w:r>
        <w:rPr>
          <w:color w:val="646464"/>
          <w:sz w:val="20"/>
        </w:rPr>
        <w:t>文　　号：国信办发〔2026〕8号</w:t>
        <w:br/>
        <w:t>发文机关：国家互联网信息办公室等四部门</w:t>
        <w:br/>
        <w:t>发文日期：2026-04-12</w:t>
      </w:r>
    </w:p>
    <w:p>
      <w:pPr>
        <w:ind w:left="240"/>
      </w:pPr>
      <w:r>
        <w:t>要求AI生成内容添加显式标识和隐式水印，服务提供者承担核验义务。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《促进和规范数据跨境流动规定》</w:t>
      </w:r>
    </w:p>
    <w:p>
      <w:r>
        <w:rPr>
          <w:color w:val="646464"/>
          <w:sz w:val="20"/>
        </w:rPr>
        <w:t>文　　号：国信办令第16号</w:t>
        <w:br/>
        <w:t>发文机关：国家互联网信息办公室</w:t>
        <w:br/>
        <w:t>发文日期：2026-03-22</w:t>
      </w:r>
    </w:p>
    <w:p>
      <w:pPr>
        <w:ind w:left="240"/>
      </w:pPr>
      <w:r>
        <w:t>放宽一般数据出境限制，建立自贸区负面清单制度，明确免申报情形。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《工业互联网规模化应用行动计划》</w:t>
      </w:r>
    </w:p>
    <w:p>
      <w:r>
        <w:rPr>
          <w:color w:val="646464"/>
          <w:sz w:val="20"/>
        </w:rPr>
        <w:t>文　　号：工信部信发〔2026〕72号</w:t>
        <w:br/>
        <w:t>发文机关：工业和信息化部</w:t>
        <w:br/>
        <w:t>发文日期：2026-05-08</w:t>
      </w:r>
    </w:p>
    <w:p>
      <w:pPr>
        <w:ind w:left="240"/>
      </w:pPr>
      <w:r>
        <w:t>推动5G+工业互联网融合，建设100个行业级平台，培育50家领军企业。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《上海市数据条例》</w:t>
      </w:r>
    </w:p>
    <w:p>
      <w:r>
        <w:rPr>
          <w:color w:val="646464"/>
          <w:sz w:val="20"/>
        </w:rPr>
        <w:t>文　　号：沪人大〔2026〕3号</w:t>
        <w:br/>
        <w:t>发文机关：上海市人民代表大会</w:t>
        <w:br/>
        <w:t>发文日期：2026-06-15</w:t>
      </w:r>
    </w:p>
    <w:p>
      <w:pPr>
        <w:ind w:left="240"/>
      </w:pPr>
      <w:r>
        <w:t>全国首部省级数据综合立法，涵盖数据权益、交易、安全、开放全链条。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《广东省数字经济促进条例》</w:t>
      </w:r>
    </w:p>
    <w:p>
      <w:r>
        <w:rPr>
          <w:color w:val="646464"/>
          <w:sz w:val="20"/>
        </w:rPr>
        <w:t>文　　号：粤人大〔2026〕7号</w:t>
        <w:br/>
        <w:t>发文机关：广东省人民代表大会</w:t>
        <w:br/>
        <w:t>发文日期：2026-01-20</w:t>
      </w:r>
    </w:p>
    <w:p>
      <w:pPr>
        <w:ind w:left="240"/>
      </w:pPr>
      <w:r>
        <w:t>设数据要素、数字产业化、产业数字化专章，建立数字经济统计监测制度。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《浙江省公共数据条例（修订）》</w:t>
      </w:r>
    </w:p>
    <w:p>
      <w:r>
        <w:rPr>
          <w:color w:val="646464"/>
          <w:sz w:val="20"/>
        </w:rPr>
        <w:t>文　　号：浙人大〔2026〕4号</w:t>
        <w:br/>
        <w:t>发文机关：浙江省人民代表大会</w:t>
        <w:br/>
        <w:t>发文日期：2026-03-10</w:t>
      </w:r>
    </w:p>
    <w:p>
      <w:pPr>
        <w:ind w:left="240"/>
      </w:pPr>
      <w:r>
        <w:t>扩大公共数据开放范围，建立授权运营和收益分配机制，强化安全责任。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《日本数字社会形成基本法修正案》</w:t>
      </w:r>
    </w:p>
    <w:p>
      <w:r>
        <w:rPr>
          <w:color w:val="646464"/>
          <w:sz w:val="20"/>
        </w:rPr>
        <w:t>文　　号：令和8年法律第28号</w:t>
        <w:br/>
        <w:t>发文机关：日本国会</w:t>
        <w:br/>
        <w:t>发文日期：2026-04-25</w:t>
      </w:r>
    </w:p>
    <w:p>
      <w:pPr>
        <w:ind w:left="240"/>
      </w:pPr>
      <w:r>
        <w:t>设立数字厅AI监管职能，推动行政数据标准化和跨部门共享。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《美国关于安全、可靠和可信人工智能的行政令》</w:t>
      </w:r>
    </w:p>
    <w:p>
      <w:r>
        <w:rPr>
          <w:color w:val="646464"/>
          <w:sz w:val="20"/>
        </w:rPr>
        <w:t>文　　号：E.O. 14179</w:t>
        <w:br/>
        <w:t>发文机关：美国白宫</w:t>
        <w:br/>
        <w:t>发文日期：2026-01-28</w:t>
      </w:r>
    </w:p>
    <w:p>
      <w:pPr>
        <w:ind w:left="240"/>
      </w:pPr>
      <w:r>
        <w:t>要求AI系统开发前进行安全测试，NIST制定标准，强化关键基础设施保护。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《欧盟人工智能法案（AI Act）全面适用条例》</w:t>
      </w:r>
    </w:p>
    <w:p>
      <w:r>
        <w:rPr>
          <w:color w:val="646464"/>
          <w:sz w:val="20"/>
        </w:rPr>
        <w:t>文　　号：EU 2024/1689</w:t>
        <w:br/>
        <w:t>发文机关：欧盟理事会与欧洲议会</w:t>
        <w:br/>
        <w:t>发文日期：2026-02-02</w:t>
      </w:r>
    </w:p>
    <w:p>
      <w:pPr>
        <w:ind w:left="240"/>
      </w:pPr>
      <w:r>
        <w:t>高风险AI系统义务全面生效，设立AI办公室和成员国监管机构。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制度建设：2026年10月国务院“人工智能+”意见与国家数据局数据产业指导意见同期出台，标志数据要素与AI融合进入制度集成期。前者将AI定位为通用目的技术，后者首次系统界定数据产业边界，二者形成“技术+要素”双轮驱动。逻辑在于数据要素市场建设已从确权登记转向产业化落地，AI则从监管规范转向赋能实体。研判：下一步将出现数据产业与AI产业的政策协同考核，地方可能面临数据供给不足与AI算力过剩的结构性矛盾，需警惕重复建设。</w:t>
      </w:r>
    </w:p>
    <w:p>
      <w:r>
        <w:rPr>
          <w:b/>
          <w:color w:val="5B6DE4"/>
        </w:rPr>
        <w:t xml:space="preserve">②  </w:t>
      </w:r>
      <w:r>
        <w:t>技术路线：工信部10月16日算力互联互通通知要求2027年底建成国家算力调度平台，统一标识与调度。这延续了“东数西算”工程从物理布局向逻辑调度升级的思路，背后是算力利用率区域失衡——西部枢纽上架率不足而东部需求旺盛。研判：算力调度平台将类似电网调度，可能催生算力交易市场和峰谷定价机制，但跨区域利益分配和网络时延仍是瓶颈，需配套传输网升级和结算规则。</w:t>
      </w:r>
    </w:p>
    <w:p>
      <w:r>
        <w:rPr>
          <w:b/>
          <w:color w:val="5B6DE4"/>
        </w:rPr>
        <w:t xml:space="preserve">③  </w:t>
      </w:r>
      <w:r>
        <w:t>区域格局：上海、广东、浙江、江苏、辽宁在10月密集出台数据与AI政策，呈现“东部引领、东北跟进”格局。上海侧重立法与交易场所，广东聚焦制造业赋能，浙江深耕数字政府，江苏补算力短板，辽宁以三年行动方案追赶。逻辑是地方在“数据二十条”框架下争夺数据要素配置权与AI产业生态位。研判：区域间数据壁垒可能加剧，需国家层面推动跨省数据互认，辽宁等东北省份应避免照搬东部模式，宜结合工业场景差异化突破。</w:t>
      </w:r>
    </w:p>
    <w:p>
      <w:r>
        <w:rPr>
          <w:b/>
          <w:color w:val="5B6DE4"/>
        </w:rPr>
        <w:t xml:space="preserve">④  </w:t>
      </w:r>
      <w:r>
        <w:t>产业影响：国家数据局数据产业指导意见将数据资源、技术、服务、应用、安全、基础设施六类产业纳入扶持，意味着数据从“资源”正式升格为“产业”。此前数据要素政策多聚焦流通交易，此次明确产业分类和扶持政策，意在培育市场主体和就业。研判：数据经纪人、数据标注、数据合规审计等新职业将加速涌现，但数据产业统计口径和税收政策尚不明确，中小企业可能面临合规成本高企，需配套轻量化合规工具。</w:t>
      </w:r>
    </w:p>
    <w:p>
      <w:r>
        <w:rPr>
          <w:b/>
          <w:color w:val="5B6DE4"/>
        </w:rPr>
        <w:t xml:space="preserve">⑤  </w:t>
      </w:r>
      <w:r>
        <w:t>安全合规：网信办9月底更新数据出境评估指南，10月又逢生成式AI安全要求修订版实施，安全合规从“事前审批”转向“事前+事中+事后”全链条。数据出境放宽自贸区负面清单外免评估，体现“促流动”与“保安全”再平衡。研判：企业合规重点将从申报转向持续监测，AI生成内容标识和水印技术需求爆发，但隐式水印标准尚未统一，跨平台溯源互认是下一阶段难点。</w:t>
      </w:r>
    </w:p>
    <w:p>
      <w:r>
        <w:rPr>
          <w:b/>
          <w:color w:val="5B6DE4"/>
        </w:rPr>
        <w:t xml:space="preserve">⑥  </w:t>
      </w:r>
      <w:r>
        <w:t>国际比较：中国“人工智能+”意见强调赋能实体经济，日本AI推进法侧重事业者义务与政府调查权，美国NIST生成式AI扩展文件聚焦风险管理与红队测试，欧盟AI法案则按风险分级全面合规。四方均重视安全，但路径迥异：中国以发展促安全，日本以法律定权责，美国以标准软约束，欧盟以立法强监管。启示：中国可借鉴欧盟风险分级思路细化AI治理，同时保持赋能导向，避免合规成本抑制创新；数据跨境方面，欧盟数据法案实施指南与中国出境指南可探索互认机制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