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生成日期：2026-06-12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《2026数智化转型创新推进大会发布4大成果》</w:t>
      </w:r>
    </w:p>
    <w:p>
      <w:r>
        <w:rPr>
          <w:color w:val="646464"/>
          <w:sz w:val="20"/>
        </w:rPr>
        <w:t>文　　号：暂无</w:t>
        <w:br/>
        <w:t>发文机关：数智化转型创新推进大会组委会</w:t>
        <w:br/>
        <w:t>发文日期：2026-06-06</w:t>
        <w:br/>
        <w:t>原文链接：https://news.sina.com.cn/sx/2026-06-06/detail-iniamtit8895526.shtml</w:t>
      </w:r>
    </w:p>
    <w:p>
      <w:pPr>
        <w:ind w:left="240"/>
      </w:pPr>
      <w:r>
        <w:t>发布数字化转型参考架构国家标准应用推广成果等4项重要成果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《第五届全国信息技术标准化技术委员会第一次全体会议在京召开》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发文日期：2026-06-01</w:t>
        <w:br/>
        <w:t>原文链接：https://www.miit.gov.cn/xbymdz/xwfb/gxdt/</w:t>
      </w:r>
    </w:p>
    <w:p>
      <w:pPr>
        <w:ind w:left="240"/>
      </w:pPr>
      <w:r>
        <w:t>部署信息技术标准化工作，推动数字化转型标准体系建设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《刘烈宏赴温州市、深圳市、东莞市调研数据要素市场化配置改革工作》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发文日期：2026-06-01</w:t>
        <w:br/>
        <w:t>原文链接：https://www.ndrc.gov.cn/fzggw/wld/llh/zyhd/index.html</w:t>
      </w:r>
    </w:p>
    <w:p>
      <w:pPr>
        <w:ind w:left="240"/>
      </w:pPr>
      <w:r>
        <w:t>调研数据要素市场化配置改革，推动数据产权制度建设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《《2026年数字经济发展工作要点》印发》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发文日期：2026-05-20</w:t>
      </w:r>
    </w:p>
    <w:p>
      <w:pPr>
        <w:ind w:left="240"/>
      </w:pPr>
      <w:r>
        <w:t>部署8方面任务，深化数据要素市场化配置改革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《2026年“数据要素×”大赛通知发布》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发文日期：2026-04-30</w:t>
      </w:r>
    </w:p>
    <w:p>
      <w:pPr>
        <w:ind w:left="240"/>
      </w:pPr>
      <w:r>
        <w:t>举办数据要素×大赛，发挥数据要素乘数效应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《两部门关于联合实施2026年“模数共振”行动的通知》</w:t>
      </w:r>
    </w:p>
    <w:p>
      <w:r>
        <w:rPr>
          <w:color w:val="646464"/>
          <w:sz w:val="20"/>
        </w:rPr>
        <w:t>文　　号：暂无</w:t>
        <w:br/>
        <w:t>发文机关：工业和信息化部、国家数据局</w:t>
        <w:br/>
        <w:t>发文日期：2026-04-28</w:t>
        <w:br/>
        <w:t>原文链接：http://xxzx.mwr.gov.cn/xxhhygl/bwdt/202604/t20260430_2109346.html</w:t>
      </w:r>
    </w:p>
    <w:p>
      <w:pPr>
        <w:ind w:left="240"/>
      </w:pPr>
      <w:r>
        <w:t>推动人工智能模型与数据资源协同互促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《专家解读|把握智能体发展机遇，加快构建智能体治理体系》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发文日期：2026-05-08</w:t>
        <w:br/>
        <w:t>原文链接：https://www.cac.gov.cn/wxzw/zcfg/A093703index_1.htm?pageId=0&amp;wfwfid=7967</w:t>
      </w:r>
    </w:p>
    <w:p>
      <w:pPr>
        <w:ind w:left="240"/>
      </w:pPr>
      <w:r>
        <w:t>解读智能体治理体系构建，推动人工智能健康发展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《智能体规范应用与创新发展实施意见》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发文日期：2026-05-08</w:t>
        <w:br/>
        <w:t>原文链接：https://www.cac.gov.cn/wxzw/zcfg/A093703index_1.htm?pageId=0&amp;wfwfid=7967</w:t>
      </w:r>
    </w:p>
    <w:p>
      <w:pPr>
        <w:ind w:left="240"/>
      </w:pPr>
      <w:r>
        <w:t>规范智能体应用，促进人工智能产业创新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《广东省工业和信息化厅关于开展2026年支持推动人工智能赋能新型工业化标杆项目入库储备工作的通知》</w:t>
      </w:r>
    </w:p>
    <w:p>
      <w:r>
        <w:rPr>
          <w:color w:val="646464"/>
          <w:sz w:val="20"/>
        </w:rPr>
        <w:t>文　　号：暂无</w:t>
        <w:br/>
        <w:t>发文机关：广东省工业和信息化厅</w:t>
        <w:br/>
        <w:t>发文日期：2026-05-01</w:t>
        <w:br/>
        <w:t>原文链接：http://www.jiangmen.gov.cn/jmgxj/attachment/0/349/349704/3350943.pdf</w:t>
      </w:r>
    </w:p>
    <w:p>
      <w:pPr>
        <w:ind w:left="240"/>
      </w:pPr>
      <w:r>
        <w:t>支持人工智能赋能新型工业化标杆项目入库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《2026年全民数字素养与技能提升月启动》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发文日期：2026-05-19</w:t>
        <w:br/>
        <w:t>原文链接：https://www.cac.gov.cn/index.htm?id=11085dhmoi.html</w:t>
      </w:r>
    </w:p>
    <w:p>
      <w:pPr>
        <w:ind w:left="240"/>
      </w:pPr>
      <w:r>
        <w:t>启动全民数字素养与技能提升月，促进数字社会建设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《中央网信办、国家铁路局联合约谈7家涉火车票销售第三方平台》</w:t>
      </w:r>
    </w:p>
    <w:p>
      <w:r>
        <w:rPr>
          <w:color w:val="646464"/>
          <w:sz w:val="20"/>
        </w:rPr>
        <w:t>文　　号：暂无</w:t>
        <w:br/>
        <w:t>发文机关：中央网信办、国家铁路局</w:t>
        <w:br/>
        <w:t>发文日期：2026-05-19</w:t>
        <w:br/>
        <w:t>原文链接：https://www.cac.gov.cn/index.htm?id=11085dhmoi.html</w:t>
      </w:r>
    </w:p>
    <w:p>
      <w:pPr>
        <w:ind w:left="240"/>
      </w:pPr>
      <w:r>
        <w:t>约谈平台规范火车票销售，加强网络安全与数据治理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《国家数据局召开词元经济座谈会》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探讨词元经济模式，推动数据要素价值释放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《深入推进数字中国建设专题研究班在深圳开班》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发文日期：2026-05-27</w:t>
        <w:br/>
        <w:t>原文链接：https://www.ndrc.gov.cn/fzggw/wld/llh/zyhd/index.html</w:t>
      </w:r>
    </w:p>
    <w:p>
      <w:pPr>
        <w:ind w:left="240"/>
      </w:pPr>
      <w:r>
        <w:t>培训地方干部，推进数字中国建设重点任务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《《政务移动互联网应用程序规范化管理办法》》</w:t>
      </w:r>
    </w:p>
    <w:p>
      <w:r>
        <w:rPr>
          <w:color w:val="646464"/>
          <w:sz w:val="20"/>
        </w:rPr>
        <w:t>文　　号：暂无</w:t>
        <w:br/>
        <w:t>发文机关：国家网信办</w:t>
        <w:br/>
        <w:t>发文日期：2026-01-29</w:t>
        <w:br/>
        <w:t>原文链接：https://www.cagd.gov.cn/c/a/5/1.html</w:t>
      </w:r>
    </w:p>
    <w:p>
      <w:pPr>
        <w:ind w:left="240"/>
      </w:pPr>
      <w:r>
        <w:t>规范政务App管理，提升数字政府服务水平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《《关于提升境外人员入境数字化服务便利性的实施意见》》</w:t>
      </w:r>
    </w:p>
    <w:p>
      <w:r>
        <w:rPr>
          <w:color w:val="646464"/>
          <w:sz w:val="20"/>
        </w:rPr>
        <w:t>文　　号：暂无</w:t>
        <w:br/>
        <w:t>发文机关：国家网信办</w:t>
        <w:br/>
        <w:t>发文日期：2026-02-05</w:t>
        <w:br/>
        <w:t>原文链接：https://www.cagd.gov.cn/c/a/5/1.html</w:t>
      </w:r>
    </w:p>
    <w:p>
      <w:pPr>
        <w:ind w:left="240"/>
      </w:pPr>
      <w:r>
        <w:t>提升入境数字化服务，以数字开放赋能高水平对外开放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：数据要素市场化配置改革进入深水区。国家数据局近期密集调研温州、深圳、东莞等地，并召开词元经济座谈会，表明数据产权登记、公共数据授权运营价格形成机制等核心制度正在加速落地。2026年数字经济发展工作要点明确提出建立全国统一数据产权登记制度，这意味着数据要素将从‘试点探索’转向‘全国统一规则’阶段。下一步，地方数据交易所将面临整合压力，数据资产入表与跨境流动规则有望同步细化。</w:t>
      </w:r>
    </w:p>
    <w:p>
      <w:r>
        <w:rPr>
          <w:b/>
          <w:color w:val="5B6DE4"/>
        </w:rPr>
        <w:t xml:space="preserve">②  </w:t>
      </w:r>
      <w:r>
        <w:t>趋势2：人工智能治理从‘原则框架’转向‘具体场景’规范。中央网信办5月发布《智能体规范应用与创新发展实施意见》，并组织专家解读智能体治理体系，标志着AI监管重心从大模型基础层延伸至智能体应用层。此举旨在平衡创新与安全，防止智能体在金融、医疗等关键领域引发风险。预计后续将出台智能体分类分级管理细则，并强化算法备案与责任追溯机制。</w:t>
      </w:r>
    </w:p>
    <w:p>
      <w:r>
        <w:rPr>
          <w:b/>
          <w:color w:val="5B6DE4"/>
        </w:rPr>
        <w:t xml:space="preserve">③  </w:t>
      </w:r>
      <w:r>
        <w:t>趋势3：‘模数共振’行动开启AI与数据协同发展新范式。工信部与国家数据局联合实施2026年‘模数共振’行动，推动模型与数据资源双向赋能。这改变了以往‘重模型轻数据’的产业倾向，强调高质量数据集对AI性能的关键作用。政策意图在于破解大模型训练数据瓶颈，同时通过AI反哺数据标注与治理。未来，行业级高质量数据集建设将成为政策扶持重点，数据标注产业有望迎来标准化升级。</w:t>
      </w:r>
    </w:p>
    <w:p>
      <w:r>
        <w:rPr>
          <w:b/>
          <w:color w:val="5B6DE4"/>
        </w:rPr>
        <w:t xml:space="preserve">④  </w:t>
      </w:r>
      <w:r>
        <w:t>趋势4：地方算力政策从‘规模扩张’转向‘普惠易用’。天津、北京、青岛等地算力政策均强调‘算力券’、‘普惠易用’和‘绿色安全’，不再单纯追求机架规模增长。例如北京人工智能算力券直接补贴企业使用算力，降低中小企业门槛。这反映出国家‘东数西算’工程进入效能优化阶段，政策重心转向算力调度效率与使用成本。预计更多省份将推出算力券或算力补贴，同时绿色算力标准将加速制定。</w:t>
      </w:r>
    </w:p>
    <w:p>
      <w:r>
        <w:rPr>
          <w:b/>
          <w:color w:val="5B6DE4"/>
        </w:rPr>
        <w:t xml:space="preserve">⑤  </w:t>
      </w:r>
      <w:r>
        <w:t>趋势5：数字化转型标准体系加速构建，推动产业落地。2026数智化转型创新推进大会发布《数字化转型参考架构国家标准应用推广成果》，工信部同步推进高标准数字园区建设指南。这表明数字化转型已从‘概念普及’进入‘标准引领’阶段，通过国标统一评估框架，避免企业‘盲目转型’。未来，数字化转型成熟度评估将成为企业申报政策支持的前置条件，行业联合推进计划将细化到具体产业链环节。</w:t>
      </w:r>
    </w:p>
    <w:p>
      <w:r>
        <w:rPr>
          <w:b/>
          <w:color w:val="5B6DE4"/>
        </w:rPr>
        <w:t xml:space="preserve">⑥  </w:t>
      </w:r>
      <w:r>
        <w:t>趋势6（国际比较）：中国AI治理路径与欧美形成差异化竞争。欧盟《人工智能法案》2026年全面实施，侧重风险分级与事前合规；美国通过行政令推动AI安全测试与隐私保护，但缺乏统一立法。中国则采取‘政策先行+试点推进’模式，如智能体治理意见和模数共振行动，强调发展与安全并重。与欧盟的严格监管不同，中国更注重通过产业政策（如算力券、数据要素大赛）激励创新。启示在于：中国需加快AI立法进程以提供稳定预期，同时在国际规则制定中输出‘发展型治理’理念，避免被动接受欧美标准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