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生成日期：2026-06-23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发文日期：2026-06-18</w:t>
        <w:br/>
        <w:t>原文链接：https://www.cac.gov.cn/wxzw/zcfg/A093703index_1.htm</w:t>
      </w:r>
    </w:p>
    <w:p>
      <w:pPr>
        <w:ind w:left="240"/>
      </w:pPr>
      <w:r>
        <w:t>明确网络数据安全风险评估机制与流程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《两部门关于联合开展2026年度人形机器人与具身智能实景实训专项行动的通知》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发文日期：2026-06-16</w:t>
        <w:br/>
        <w:t>原文链接：https://www.miit.gov.cn/wzpz/sylb/index.html</w:t>
      </w:r>
    </w:p>
    <w:p>
      <w:pPr>
        <w:ind w:left="240"/>
      </w:pPr>
      <w:r>
        <w:t>推动人形机器人与具身智能技术实景应用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发文日期：2026-06-15</w:t>
        <w:br/>
        <w:t>原文链接：https://www.ndrc.gov.cn/fzggw/wld/llh/zyhd/index.html</w:t>
      </w:r>
    </w:p>
    <w:p>
      <w:pPr>
        <w:ind w:left="240"/>
      </w:pPr>
      <w:r>
        <w:t>调研数据要素市场化配置改革进展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《促进平台经济大中小企业协同发展行动方案》</w:t>
      </w:r>
    </w:p>
    <w:p>
      <w:r>
        <w:rPr>
          <w:color w:val="646464"/>
          <w:sz w:val="20"/>
        </w:rPr>
        <w:t>文　　号：工信部联信管〔2026〕119号</w:t>
        <w:br/>
        <w:t>发文机关：工业和信息化部</w:t>
        <w:br/>
        <w:t>发文日期：2026-06-11</w:t>
        <w:br/>
        <w:t>原文链接：https://www.miit.gov.cn/search/zcwjk.html</w:t>
      </w:r>
    </w:p>
    <w:p>
      <w:pPr>
        <w:ind w:left="240"/>
      </w:pPr>
      <w:r>
        <w:t>促进平台经济大中小企业协同发展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《互联网信息内容多渠道分发服务管理规定》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发文日期：2026-05-29</w:t>
        <w:br/>
        <w:t>原文链接：https://www.cac.gov.cn/wxzw/zcfg/A093703index_1.htm</w:t>
      </w:r>
    </w:p>
    <w:p>
      <w:pPr>
        <w:ind w:left="240"/>
      </w:pPr>
      <w:r>
        <w:t>规范互联网信息内容多渠道分发服务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《2026年提升全民数字素养与技能工作要点》</w:t>
      </w:r>
    </w:p>
    <w:p>
      <w:r>
        <w:rPr>
          <w:color w:val="646464"/>
          <w:sz w:val="20"/>
        </w:rPr>
        <w:t>文　　号：暂无</w:t>
        <w:br/>
        <w:t>发文机关：中央网信办等四部门</w:t>
        <w:br/>
        <w:t>发文日期：2026-05-29</w:t>
        <w:br/>
        <w:t>原文链接：https://www.cac.gov.cn/wxzw/wxfb/A093702index_1.htm</w:t>
      </w:r>
    </w:p>
    <w:p>
      <w:pPr>
        <w:ind w:left="240"/>
      </w:pPr>
      <w:r>
        <w:t>提升全民数字素养与技能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推进数字中国建设专题研究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《刘烈宏出席数据安全发展大会开幕式并启动2026年“数据要素×”大赛》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启动数据要素×大赛，推动数据应用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《词元经济座谈会》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探讨词元经济与数据要素关系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号：暂无</w:t>
        <w:br/>
        <w:t>发文机关：湖北省通信管理局（转发工信部文件）</w:t>
        <w:br/>
        <w:t>发文日期：2026-06-03</w:t>
        <w:br/>
        <w:t>原文链接：https://hubca.miit.gov.cn/zwgk/zcwj/wjfb/art/2026/art_1a6880738cfc4235afeda815d6ae8ab4.html</w:t>
      </w:r>
    </w:p>
    <w:p>
      <w:pPr>
        <w:ind w:left="240"/>
      </w:pPr>
      <w:r>
        <w:t>推动人工智能与信息通信融合创新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《以“小快灵”立法规范人工智能拟人化互动服务》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发文日期：2026-06-03</w:t>
        <w:br/>
        <w:t>原文链接：https://www.cac.gov.cn/wxzw/zcfg/A093703index_1.htm</w:t>
      </w:r>
    </w:p>
    <w:p>
      <w:pPr>
        <w:ind w:left="240"/>
      </w:pPr>
      <w:r>
        <w:t>规范人工智能拟人化互动服务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《山西省推进数字经济全面发展实施方案（2026—2028年）》</w:t>
      </w:r>
    </w:p>
    <w:p>
      <w:r>
        <w:rPr>
          <w:color w:val="646464"/>
          <w:sz w:val="20"/>
        </w:rPr>
        <w:t>文　　号：暂无</w:t>
        <w:br/>
        <w:t>发文机关：山西省人民政府办公厅</w:t>
        <w:br/>
        <w:t>发文日期：2026-01-04</w:t>
      </w:r>
    </w:p>
    <w:p>
      <w:pPr>
        <w:ind w:left="240"/>
      </w:pPr>
      <w:r>
        <w:t>推动数字经济全面发展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《工业互联网和人工智能融合赋能行动方案》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发文日期：2026-01-01</w:t>
        <w:br/>
        <w:t>原文链接：https://www.cics-cert.org.cn/web_root/webpage/articlecontent_110027_2038865719046705154.html</w:t>
      </w:r>
    </w:p>
    <w:p>
      <w:pPr>
        <w:ind w:left="240"/>
      </w:pPr>
      <w:r>
        <w:t>推动工业互联网与人工智能融合赋能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《2026年上海市制造业智能化发展项目申报指南》</w:t>
      </w:r>
    </w:p>
    <w:p>
      <w:r>
        <w:rPr>
          <w:color w:val="646464"/>
          <w:sz w:val="20"/>
        </w:rPr>
        <w:t>文　　号：暂无</w:t>
        <w:br/>
        <w:t>发文机关：上海市经济和信息化委员会</w:t>
        <w:br/>
        <w:t>发文日期：2026-01-12</w:t>
        <w:br/>
        <w:t>原文链接：https://www.sheitc.sh.gov.cn/cyfz/20260112/11e3168ff89a4eeea2b1afd193c19418.html</w:t>
      </w:r>
    </w:p>
    <w:p>
      <w:pPr>
        <w:ind w:left="240"/>
      </w:pPr>
      <w:r>
        <w:t>支持制造业智能化发展项目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数据安全制度加速细化。2026年6月18日发布的《网络数据安全风险评估办法》标志着数据安全从宏观框架进入实操阶段。该办法要求对数据处理活动进行系统性风险评估，与2025年生效的《网络数据安全管理条例》形成配套。此举意在为数据要素市场化提供安全底座，避免因安全漏洞阻碍流通。预计下一步将出台行业级评估指南，金融、医疗、交通等领域将率先试点。</w:t>
      </w:r>
    </w:p>
    <w:p>
      <w:r>
        <w:rPr>
          <w:b/>
          <w:color w:val="5B6DE4"/>
        </w:rPr>
        <w:t xml:space="preserve">②  </w:t>
      </w:r>
      <w:r>
        <w:t>趋势2：人工智能监管走向“小快灵”立法。网信办2026年6月3日提出以“小快灵”方式规范AI拟人化互动服务，针对深度伪造、情感操控等风险快速响应。这与欧盟AI Act的全面分级监管不同，中国更倾向于针对具体场景快速立法，降低合规成本。未来可能对AI陪伴、虚拟主播等细分领域出台专项规定，形成“场景化监管”模式。</w:t>
      </w:r>
    </w:p>
    <w:p>
      <w:r>
        <w:rPr>
          <w:b/>
          <w:color w:val="5B6DE4"/>
        </w:rPr>
        <w:t xml:space="preserve">③  </w:t>
      </w:r>
      <w:r>
        <w:t>趋势3：平台经济政策转向协同发展。工信部2026年6月11日发布的《促进平台经济大中小企业协同发展行动方案》表明，监管重心从反垄断转向生态共建。方案鼓励平台开放数据、算力、技术资源，带动中小企业数字化转型。这反映出政策意图通过平台赋能实体经济，而非单纯限制规模。预计后续将配套财税激励，推动平台企业承担“数字基础设施”角色。</w:t>
      </w:r>
    </w:p>
    <w:p>
      <w:r>
        <w:rPr>
          <w:b/>
          <w:color w:val="5B6DE4"/>
        </w:rPr>
        <w:t xml:space="preserve">④  </w:t>
      </w:r>
      <w:r>
        <w:t>趋势4：算力建设从“量”向“质”升级。国家信息中心2026年6月10日数据显示算力领域基础设施项目中标金额同比增长约1倍，但多地规划（如天津、青岛）已明确强调“通用算力、智能算力、超级算力一体化布局”，避免低水平重复建设。政策逻辑是算力必须与算法、数据协同，才能支撑AI大模型训练。未来算力补贴将更注重使用效率，而非单纯扩容。</w:t>
      </w:r>
    </w:p>
    <w:p>
      <w:r>
        <w:rPr>
          <w:b/>
          <w:color w:val="5B6DE4"/>
        </w:rPr>
        <w:t xml:space="preserve">⑤  </w:t>
      </w:r>
      <w:r>
        <w:t>趋势5：数据要素市场化改革进入深水区。国家数据局局长刘烈宏2026年6月赴温州、深圳、东莞调研，并启动“数据要素×”大赛，表明数据确权、定价、交易机制正在多地试点。政策意图是通过竞赛挖掘高价值场景，倒逼制度突破。当前难点在于数据资产入表后的会计处理与税收规则尚未明确，预计2026年下半年将出台数据资产估值指引。</w:t>
      </w:r>
    </w:p>
    <w:p>
      <w:r>
        <w:rPr>
          <w:b/>
          <w:color w:val="5B6DE4"/>
        </w:rPr>
        <w:t xml:space="preserve">⑥  </w:t>
      </w:r>
      <w:r>
        <w:t>趋势6：国际比较：中国AI监管侧重场景快速响应，欧盟侧重风险分级，美国侧重行业自律。中国2026年6月出台的AI拟人化互动服务规范与欧盟AI Act的高风险分类不同，更注重具体应用场景的快速干预；美国则通过行政令鼓励自愿承诺。中国模式优势在于灵活，但可能面临规则碎片化风险。建议借鉴欧盟的透明度要求，建立跨场景的AI备案制度，平衡创新与安全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