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生成日期：2026-09-28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《2026年国家网络安全宣传周活动》</w:t>
      </w:r>
    </w:p>
    <w:p>
      <w:r>
        <w:rPr>
          <w:color w:val="646464"/>
          <w:sz w:val="20"/>
        </w:rPr>
        <w:t>文　　号：暂无</w:t>
        <w:br/>
        <w:t>发文机关：中央网信办等中央和国家机关</w:t>
        <w:br/>
        <w:t>发文日期：2026-09-14</w:t>
      </w:r>
    </w:p>
    <w:p>
      <w:pPr>
        <w:ind w:left="240"/>
      </w:pPr>
      <w:r>
        <w:t>以智能时代网安护航为主题，9月14日至20日全国统一开展。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原文链接：https://www.miit.gov.cn/zwgk/zcwj/</w:t>
      </w:r>
    </w:p>
    <w:p>
      <w:pPr>
        <w:ind w:left="240"/>
      </w:pPr>
      <w:r>
        <w:t>推动人工智能与软件产业深度融合，部署专项行动任务。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部署未来五年数字乡村建设，推进乡村数字化与信息化融合发展。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通报个人信息保护专项行动阶段性成果，强化违规整治。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</w:r>
    </w:p>
    <w:p>
      <w:pPr>
        <w:ind w:left="240"/>
      </w:pPr>
      <w:r>
        <w:t>明确网络数据安全风险评估要求，8月20日起施行。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拟对大型个人信息处理者提出更严格保护义务，公开征求意见。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《关于推进数字化绿色化协同转型发展的部署》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坚持智能化绿色化融合化方向，纵深推进数字化绿色化协同转型。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《人工智能大模型系列国家标准实施》</w:t>
      </w:r>
    </w:p>
    <w:p>
      <w:r>
        <w:rPr>
          <w:color w:val="646464"/>
          <w:sz w:val="20"/>
        </w:rPr>
        <w:t>文　　号：暂无</w:t>
        <w:br/>
        <w:t>发文机关：国家市场监督管理总局、国家标准化管理委员会</w:t>
        <w:br/>
        <w:t>发文日期：2026-01-08</w:t>
      </w:r>
    </w:p>
    <w:p>
      <w:pPr>
        <w:ind w:left="240"/>
      </w:pPr>
      <w:r>
        <w:t>人工智能大模型系列国家标准正式实施，规范大模型研发与应用。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《中华人民共和国网络安全法（2025年修正）》</w:t>
      </w:r>
    </w:p>
    <w:p>
      <w:r>
        <w:rPr>
          <w:color w:val="646464"/>
          <w:sz w:val="20"/>
        </w:rPr>
        <w:t>文　　号：暂无</w:t>
        <w:br/>
        <w:t>发文机关：全国人民代表大会常务委员会</w:t>
        <w:br/>
        <w:t>发文日期：2026-01-01</w:t>
      </w:r>
    </w:p>
    <w:p>
      <w:pPr>
        <w:ind w:left="240"/>
      </w:pPr>
      <w:r>
        <w:t>修改后的网络安全法自2026年1月1日起施行，强化网络安全法治保障。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原文链接：https://www.miit.gov.cn/zwgk/zcwj/</w:t>
      </w:r>
    </w:p>
    <w:p>
      <w:pPr>
        <w:ind w:left="240"/>
      </w:pPr>
      <w:r>
        <w:t>推动人工智能与软件产业深度融合，部署专项行动任务。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部署未来五年数字乡村建设，推进乡村数字化与信息化融合发展。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通报个人信息保护专项行动阶段性成果，强化违规整治。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就数据出境安全管理政策法规进行解读，回应企业合规关切。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</w:r>
    </w:p>
    <w:p>
      <w:pPr>
        <w:ind w:left="240"/>
      </w:pPr>
      <w:r>
        <w:t>明确网络数据安全风险评估要求，8月20日起施行。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拟对大型个人信息处理者提出更严格保护义务，公开征求意见。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《人工智能大模型系列国家标准实施》</w:t>
      </w:r>
    </w:p>
    <w:p>
      <w:r>
        <w:rPr>
          <w:color w:val="646464"/>
          <w:sz w:val="20"/>
        </w:rPr>
        <w:t>文　　号：暂无</w:t>
        <w:br/>
        <w:t>发文机关：国家市场监督管理总局、国家标准化管理委员会</w:t>
        <w:br/>
        <w:t>发文日期：2026-01-08</w:t>
      </w:r>
    </w:p>
    <w:p>
      <w:pPr>
        <w:ind w:left="240"/>
      </w:pPr>
      <w:r>
        <w:t>人工智能大模型系列国家标准正式实施，规范大模型研发与应用。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《关于推进数字化绿色化协同转型发展的部署》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坚持智能化绿色化融合化方向，纵深推进数字化绿色化协同转型。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《2026年国家网络安全宣传周活动》</w:t>
      </w:r>
    </w:p>
    <w:p>
      <w:r>
        <w:rPr>
          <w:color w:val="646464"/>
          <w:sz w:val="20"/>
        </w:rPr>
        <w:t>文　　号：暂无</w:t>
        <w:br/>
        <w:t>发文机关：中央网信办等中央和国家机关</w:t>
        <w:br/>
        <w:t>发文日期：2026-09-14</w:t>
      </w:r>
    </w:p>
    <w:p>
      <w:pPr>
        <w:ind w:left="240"/>
      </w:pPr>
      <w:r>
        <w:t>以智能时代网安护航为主题，9月14日至20日全国统一开展。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工信部9月2日印发《“人工智能+软件”专项行动实施方案》（工信部信发〔2026〕209号），同期国家网信办推进数字乡村高质量发展行动计划（2026—2030年）。逻辑：政策重心从“建平台、铺网络”转向“用AI改造产业和治理”，以软件业为切口推动AI落地，同时以数字乡村补齐城乡数字鸿沟。研判：预计四季度将出现一批AI+制造、AI+政务的试点名单，地方配套资金和算力券可能跟进；需警惕地方一哄而上、重复建设算力与模型的问题。</w:t>
      </w:r>
    </w:p>
    <w:p>
      <w:r>
        <w:rPr>
          <w:b/>
          <w:color w:val="5B6DE4"/>
        </w:rPr>
        <w:t xml:space="preserve">②  </w:t>
      </w:r>
      <w:r>
        <w:t>现象：国家网信办8月20日施行《网络数据安全风险评估办法》，8月7日就《大型个人信息处理者个人信息保护规定（征求意见稿）》公开征求意见，8月19日通报个人信息保护专项行动阶段性成效。逻辑：数据安全制度从“立框架”进入“定细则、强执行”阶段，监管抓手从原则性要求转向可操作的风险评估与分类分级。研判：大型平台将面临更频繁的合规审计，数据安全评估或成为上市、并购的前置条件；中小企业合规成本上升，第三方认证服务市场将快速扩容。</w:t>
      </w:r>
    </w:p>
    <w:p>
      <w:r>
        <w:rPr>
          <w:b/>
          <w:color w:val="5B6DE4"/>
        </w:rPr>
        <w:t xml:space="preserve">③  </w:t>
      </w:r>
      <w:r>
        <w:t>现象：修改后的《网络安全法》自2026年1月1日施行，2026年国家网络安全宣传周9月14日至20日举行，主题为“智能时代 网安护航”。逻辑：立法修法与年度宣传形成“制度+意识”双轮驱动，回应AI、大模型带来的新型攻击面。研判：下一步关键信息基础设施保护、AI安全测评等配套标准会密集出台；企业应将网安投入从合规成本转为竞争力，尤其是模型安全、供应链安全方向。</w:t>
      </w:r>
    </w:p>
    <w:p>
      <w:r>
        <w:rPr>
          <w:b/>
          <w:color w:val="5B6DE4"/>
        </w:rPr>
        <w:t xml:space="preserve">④  </w:t>
      </w:r>
      <w:r>
        <w:t>现象：人工智能大模型系列国家标准于2026年1月实施，网信办持续发布数据出境安全管理政策问答。逻辑：中国走“标准先行+备案管理”的治理路径，用国家标准为模型研发划定底线，用数据出境问答稳定外资和跨境企业预期。研判：大模型备案与安全评估将趋于常态化，标准体系可能向模型评测、内容标识延伸；企业需提前布局模型合规文档与数据来源审计，避免产品上线受阻。</w:t>
      </w:r>
    </w:p>
    <w:p>
      <w:r>
        <w:rPr>
          <w:b/>
          <w:color w:val="5B6DE4"/>
        </w:rPr>
        <w:t xml:space="preserve">⑤  </w:t>
      </w:r>
      <w:r>
        <w:t>现象：数字乡村高质量发展行动计划（2026—2030年）与数字化绿色化协同转型部署同期推进，均强调智能化、绿色化、融合化。逻辑：数字政策不再单兵突进，而是与乡村振兴、双碳目标捆绑，形成跨部门协同。研判：县域数字化、农业数据要素、绿色算力等将成为新投资热点；但基层数据治理能力薄弱，可能出现“重建设轻运营”，需关注可持续运营机制和人才下沉。</w:t>
      </w:r>
    </w:p>
    <w:p>
      <w:r>
        <w:rPr>
          <w:b/>
          <w:color w:val="5B6DE4"/>
        </w:rPr>
        <w:t xml:space="preserve">⑥  </w:t>
      </w:r>
      <w:r>
        <w:t>现象：中国以《网络安全法》修订、大模型国标、数据出境问答构建治理体系；欧盟推进AI Act与GDPR执法，美国以行政令和NIST框架为主，日本通过数字厅推动AI与数据战略。逻辑：三方路径差异明显——中国重标准与备案、欧盟重风险分级与权利保护、美国重创新与安全平衡、日本重社会应用。研判：跨境数据与AI合规将成企业出海最大门槛，中国可借鉴欧盟风险分级思路完善大模型分类监管，同时推动与日本在数字贸易规则上的互认，降低企业多重合规成本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