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生成日期：2026-06-10　　数据 · 算力 · 信息化</w:t>
      </w:r>
    </w:p>
    <w:p/>
    <w:p>
      <w:pPr>
        <w:pStyle w:val="Heading1"/>
      </w:pPr>
      <w:r>
        <w:rPr>
          <w:color w:val="5B6DE4"/>
          <w:sz w:val="28"/>
        </w:rPr>
        <w:t>一、过去 24 小时关键政策</w:t>
      </w:r>
    </w:p>
    <w:p>
      <w:r>
        <w:rPr>
          <w:b/>
          <w:sz w:val="24"/>
        </w:rPr>
        <w:t>《2026数智化转型创新推进大会发布数字化转型标准应用系列成果》</w:t>
      </w:r>
    </w:p>
    <w:p>
      <w:r>
        <w:rPr>
          <w:color w:val="646464"/>
          <w:sz w:val="20"/>
        </w:rPr>
        <w:t>文　　号：暂无</w:t>
        <w:br/>
        <w:t>发文机关：相关国家部委及行业组织</w:t>
        <w:br/>
        <w:t>发文日期：2026-06-06</w:t>
        <w:br/>
        <w:t>原文链接：https://news.sina.com.cn/sx/2026-06-06/detail-iniamtit8895526.shtml</w:t>
      </w:r>
    </w:p>
    <w:p>
      <w:pPr>
        <w:ind w:left="240"/>
      </w:pPr>
      <w:r>
        <w:t>发布《2026数字化转型参考架构国家标准应用推广成果报告》等四项成果。</w:t>
      </w:r>
    </w:p>
    <w:p>
      <w:pPr>
        <w:spacing w:before="0" w:after="80"/>
        <w:pBdr>
          <w:bottom w:val="single" w:sz="4" w:space="1" w:color="DDDDDD"/>
        </w:pBdr>
      </w:pPr>
    </w:p>
    <w:p/>
    <w:p>
      <w:pPr>
        <w:pStyle w:val="Heading1"/>
      </w:pPr>
      <w:r>
        <w:rPr>
          <w:color w:val="5B6DE4"/>
          <w:sz w:val="28"/>
        </w:rPr>
        <w:t>二、过去一个月主要政策动向</w:t>
      </w: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部署信息技术标准化重点工作，推动数字技术标准体系建设。</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调研数据要素市场化配置改革进展，推动数据产权与授权运营。</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发文机关：国家数据局等</w:t>
        <w:br/>
        <w:t>发文日期：2026-04-30</w:t>
      </w:r>
    </w:p>
    <w:p>
      <w:pPr>
        <w:ind w:left="240"/>
      </w:pPr>
      <w:r>
        <w:t>举办2026年数据要素×大赛，发挥数据要素乘数效应。</w:t>
      </w:r>
    </w:p>
    <w:p>
      <w:pPr>
        <w:spacing w:before="0" w:after="80"/>
        <w:pBdr>
          <w:bottom w:val="single" w:sz="4" w:space="1" w:color="DDDDDD"/>
        </w:pBdr>
      </w:pPr>
    </w:p>
    <w:p>
      <w:r>
        <w:rPr>
          <w:b/>
          <w:sz w:val="24"/>
        </w:rPr>
        <w:t>《两部门关于联合实施2026年“模数共振”行动的通知》</w:t>
      </w:r>
    </w:p>
    <w:p>
      <w:r>
        <w:rPr>
          <w:color w:val="646464"/>
          <w:sz w:val="20"/>
        </w:rPr>
        <w:t>文　　号：暂无</w:t>
        <w:br/>
        <w:t>发文机关：工业和信息化部、国家数据局</w:t>
        <w:br/>
        <w:t>发文日期：2026-04-28</w:t>
        <w:br/>
        <w:t>原文链接：http://xxzx.mwr.gov.cn/xxhhygl/bwdt/202604/t20260430_2109346.html</w:t>
      </w:r>
    </w:p>
    <w:p>
      <w:pPr>
        <w:ind w:left="240"/>
      </w:pPr>
      <w:r>
        <w:t>推动人工智能模型与数据资源协同互促，实施模数共振行动。</w:t>
      </w:r>
    </w:p>
    <w:p>
      <w:pPr>
        <w:spacing w:before="0" w:after="80"/>
        <w:pBdr>
          <w:bottom w:val="single" w:sz="4" w:space="1" w:color="DDDDDD"/>
        </w:pBdr>
      </w:pPr>
    </w:p>
    <w:p>
      <w:r>
        <w:rPr>
          <w:b/>
          <w:sz w:val="24"/>
        </w:rPr>
        <w:t>《《2026年数字经济发展工作要点》印发》</w:t>
      </w:r>
    </w:p>
    <w:p>
      <w:r>
        <w:rPr>
          <w:color w:val="646464"/>
          <w:sz w:val="20"/>
        </w:rPr>
        <w:t>文　　号：暂无</w:t>
        <w:br/>
        <w:t>发文机关：国家数据局</w:t>
        <w:br/>
        <w:t>发文日期：2026-05-21</w:t>
      </w:r>
    </w:p>
    <w:p>
      <w:pPr>
        <w:ind w:left="240"/>
      </w:pPr>
      <w:r>
        <w:t>部署8方面重点任务，加快数据要素市场化配置改革。</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发文机关：中央网信办等</w:t>
        <w:br/>
        <w:t>发文日期：2026-05-19</w:t>
        <w:br/>
        <w:t>原文链接：https://www.cac.gov.cn/index.htm?id=11085dhmoi.html</w:t>
      </w:r>
    </w:p>
    <w:p>
      <w:pPr>
        <w:ind w:left="240"/>
      </w:pPr>
      <w:r>
        <w:t>启动全民数字素养与技能提升月，推动数字社会建设。</w:t>
      </w:r>
    </w:p>
    <w:p>
      <w:pPr>
        <w:spacing w:before="0" w:after="80"/>
        <w:pBdr>
          <w:bottom w:val="single" w:sz="4" w:space="1" w:color="DDDDDD"/>
        </w:pBdr>
      </w:pPr>
    </w:p>
    <w:p>
      <w:r>
        <w:rPr>
          <w:b/>
          <w:sz w:val="24"/>
        </w:rPr>
        <w:t>《智能体规范应用与创新发展实施意见》</w:t>
      </w:r>
    </w:p>
    <w:p>
      <w:r>
        <w:rPr>
          <w:color w:val="646464"/>
          <w:sz w:val="20"/>
        </w:rPr>
        <w:t>文　　号：暂无</w:t>
        <w:br/>
        <w:t>发文机关：中央网络安全和信息化委员会办公室</w:t>
        <w:br/>
        <w:t>发文日期：2026-05-08</w:t>
        <w:br/>
        <w:t>原文链接：https://www.cac.gov.cn/wxzw/zcfg/A093703index_1.htm?pageId=0&amp;wfwfid=7967</w:t>
      </w:r>
    </w:p>
    <w:p>
      <w:pPr>
        <w:ind w:left="240"/>
      </w:pPr>
      <w:r>
        <w:t>推动智能体规范应用与创新发展，构建治理体系。</w:t>
      </w:r>
    </w:p>
    <w:p>
      <w:pPr>
        <w:spacing w:before="0" w:after="80"/>
        <w:pBdr>
          <w:bottom w:val="single" w:sz="4" w:space="1" w:color="DDDDDD"/>
        </w:pBdr>
      </w:pPr>
    </w:p>
    <w:p/>
    <w:p>
      <w:pPr>
        <w:pStyle w:val="Heading1"/>
      </w:pPr>
      <w:r>
        <w:rPr>
          <w:color w:val="5B6DE4"/>
          <w:sz w:val="28"/>
        </w:rPr>
        <w:t>三、今年以来主要政策</w:t>
      </w:r>
    </w:p>
    <w:p>
      <w:r>
        <w:rPr>
          <w:b/>
          <w:sz w:val="24"/>
        </w:rPr>
        <w:t>《福建省2026年省级工业数字化转型项目申报通知》</w:t>
      </w:r>
    </w:p>
    <w:p>
      <w:r>
        <w:rPr>
          <w:color w:val="646464"/>
          <w:sz w:val="20"/>
        </w:rPr>
        <w:t>文　　号：闽工信函信息〔2026〕43号</w:t>
        <w:br/>
        <w:t>发文机关：福建省工业和信息化厅</w:t>
        <w:br/>
        <w:t>发文日期：2026-02-03</w:t>
        <w:br/>
        <w:t>原文链接：https://www.fuzhou.gov.cn/zgfzzt/sjxw/fzjx/tzgg/202602/t20260204_5281427.htm</w:t>
      </w:r>
    </w:p>
    <w:p>
      <w:pPr>
        <w:ind w:left="240"/>
      </w:pPr>
      <w:r>
        <w:t>组织工业互联网平台、数智化标杆企业等项目申报。</w:t>
      </w:r>
    </w:p>
    <w:p>
      <w:pPr>
        <w:spacing w:before="0" w:after="80"/>
        <w:pBdr>
          <w:bottom w:val="single" w:sz="4" w:space="1" w:color="DDDDDD"/>
        </w:pBdr>
      </w:pPr>
    </w:p>
    <w:p>
      <w:r>
        <w:rPr>
          <w:b/>
          <w:sz w:val="24"/>
        </w:rPr>
        <w:t>《上海市2026年制造业智能化发展项目组织通知》</w:t>
      </w:r>
    </w:p>
    <w:p>
      <w:r>
        <w:rPr>
          <w:color w:val="646464"/>
          <w:sz w:val="20"/>
        </w:rPr>
        <w:t>文　　号：暂无</w:t>
        <w:br/>
        <w:t>发文机关：上海市经济信息化委</w:t>
        <w:br/>
        <w:t>发文日期：2026-02-01</w:t>
      </w:r>
    </w:p>
    <w:p>
      <w:pPr>
        <w:ind w:left="240"/>
      </w:pPr>
      <w:r>
        <w:t>推动制造业智能化发展，支持智能化改造项目。</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近期密集调研数据要素市场化配置改革（温州、深圳、东莞），并印发《2026年数字经济发展工作要点》，明确加快建立全国统一数据产权登记制度。这表明数据要素的基础制度已从顶层设计进入落地攻坚阶段，核心矛盾从“要不要流通”转向“如何安全高效流通”。下一步，公共数据授权运营的价格形成机制和登记指引细则有望加速出台，但地方试点与全国统一规则之间的衔接仍将是难点。</w:t>
      </w:r>
    </w:p>
    <w:p>
      <w:r>
        <w:rPr>
          <w:b/>
          <w:color w:val="5B6DE4"/>
        </w:rPr>
        <w:t xml:space="preserve">②  </w:t>
      </w:r>
      <w:r>
        <w:t>趋势2（技术路线）：工信部与国家数据局联合启动“模数共振”行动，推动AI模型与数据资源协同互促，标志着中国政策从“算力优先”转向“模型+数据”双轮驱动。此前各地算力基建已大规模铺开，但模型训练的数据瓶颈日益突出。该行动意图通过政策引导打破数据孤岛，为国产大模型提供高质量训练语料。预计后续将配套出台数据供给质量标准和模型评测体系，但跨部门数据共享的激励机制仍需突破。</w:t>
      </w:r>
    </w:p>
    <w:p>
      <w:r>
        <w:rPr>
          <w:b/>
          <w:color w:val="5B6DE4"/>
        </w:rPr>
        <w:t xml:space="preserve">③  </w:t>
      </w:r>
      <w:r>
        <w:t>趋势3（区域格局）：天津、青岛、山西、广西等地密集发布2024-2026年算力与数字经济发展规划，呈现“东部引领、中西部追赶”的差异化布局。天津强调通用算力与智能算力一体化，青岛聚焦海洋大模型，山西侧重算力强基与数据传输网络。这种区域分工有助于避免重复建设，但中西部在人才和产业生态上的短板可能制约政策效果。未来需关注国家算力枢纽节点与地方规划的衔接，以及跨区域算力调度机制的落地。</w:t>
      </w:r>
    </w:p>
    <w:p>
      <w:r>
        <w:rPr>
          <w:b/>
          <w:color w:val="5B6DE4"/>
        </w:rPr>
        <w:t xml:space="preserve">④  </w:t>
      </w:r>
      <w:r>
        <w:t>趋势4（产业影响）：2026数智化转型创新推进大会发布数字化转型参考架构国家标准应用推广成果，并启动行业联合推进计划，表明制造业数字化转型正从“政策倡导”进入“标准落地”阶段。标准分类指引针对集团型、企业型、工厂型分别给出路径，有助于降低中小企业转型门槛。但标准推广的难点在于企业数字化基础参差不齐，后续需配套诊断评估工具和财政奖补，避免“标准悬空”。</w:t>
      </w:r>
    </w:p>
    <w:p>
      <w:r>
        <w:rPr>
          <w:b/>
          <w:color w:val="5B6DE4"/>
        </w:rPr>
        <w:t xml:space="preserve">⑤  </w:t>
      </w:r>
      <w:r>
        <w:t>趋势5（安全合规）：中央网信办发布《智能体规范应用与创新发展实施意见》，同时2026年人工智能技术赋能网络安全应用测试启动，显示AI安全治理从“原则性要求”走向“技术验证”。智能体（AI Agent）的自主决策能力带来新的数据安全与算法伦理风险，政策意图是通过标准测试和规范引导，在鼓励创新与防范风险间取得平衡。预计下一步将出台智能体分级分类管理办法，并强化关键信息基础设施中AI应用的合规审查。</w:t>
      </w:r>
    </w:p>
    <w:p>
      <w:r>
        <w:rPr>
          <w:b/>
          <w:color w:val="5B6DE4"/>
        </w:rPr>
        <w:t xml:space="preserve">⑥  </w:t>
      </w:r>
      <w:r>
        <w:t>趋势6（国际比较）：中国通过“模数共振”行动和“数据要素×”大赛推动AI与数据融合，而欧盟正依据《人工智能法案》对高风险AI系统实施严格合规要求，美国则通过行政令和NIST框架侧重行业自律与安全测试。中国路径更强调政府主导的产业协同与数据要素市场化，欧盟重风险分级与权利保护，美国重创新激励与自愿标准。启示在于：中国在数据供给规模上占优，但需加快建立类似欧盟的跨境数据流动“充分性认定”机制，以降低企业出海合规成本；同时可借鉴美国NIST的测试验证方法，提升AI安全治理的技术可信度。</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