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生成日期：2026-09-17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《信息通信行业发展“十五五”规划》</w:t>
      </w:r>
    </w:p>
    <w:p>
      <w:r>
        <w:rPr>
          <w:color w:val="646464"/>
          <w:sz w:val="20"/>
        </w:rPr>
        <w:t>文　　号：工信部规〔2026〕188号</w:t>
        <w:br/>
        <w:t>发文机关：工业和信息化部</w:t>
        <w:br/>
        <w:t>发文日期：2026-09-09</w:t>
        <w:br/>
        <w:t>原文链接：https://www.miit.gov.cn/search/zcwjk.html</w:t>
      </w:r>
    </w:p>
    <w:p>
      <w:pPr>
        <w:ind w:left="240"/>
      </w:pPr>
      <w:r>
        <w:t>部署十五五信息通信发展目标，涵盖5G演进、算力网络与数字基础设施。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《信息通信行业发展“十五五”规划》</w:t>
      </w:r>
    </w:p>
    <w:p>
      <w:r>
        <w:rPr>
          <w:color w:val="646464"/>
          <w:sz w:val="20"/>
        </w:rPr>
        <w:t>文　　号：工信部规〔2026〕188号</w:t>
        <w:br/>
        <w:t>发文机关：工业和信息化部</w:t>
        <w:br/>
        <w:t>发文日期：2026-09-09</w:t>
        <w:br/>
        <w:t>原文链接：https://www.miit.gov.cn/search/zcwjk.html</w:t>
      </w:r>
    </w:p>
    <w:p>
      <w:pPr>
        <w:ind w:left="240"/>
      </w:pPr>
      <w:r>
        <w:t>部署十五五信息通信发展目标，涵盖5G演进、算力网络与数字基础设施。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《国家信息化发展报告（2025年）》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发文日期：2026-08-07</w:t>
        <w:br/>
        <w:t>原文链接：https://www.cac.gov.cn/wxzw/wxfb/A093702index_1.htm</w:t>
      </w:r>
    </w:p>
    <w:p>
      <w:pPr>
        <w:ind w:left="240"/>
      </w:pPr>
      <w:r>
        <w:t>总结2025年信息化进展，评估数字中国建设成效与下一步方向。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《小型个人信息处理者个人信息保护简化措施规定》</w:t>
      </w:r>
    </w:p>
    <w:p>
      <w:r>
        <w:rPr>
          <w:color w:val="646464"/>
          <w:sz w:val="20"/>
        </w:rPr>
        <w:t>文　　号：暂无</w:t>
        <w:br/>
        <w:t>发文机关：国家互联网信息办公室、公安部</w:t>
        <w:br/>
        <w:t>发文日期：2026-07-24</w:t>
        <w:br/>
        <w:t>原文链接：https://www.cac.gov.cn/wxzw/wxfb/A093702index_1.htm</w:t>
      </w:r>
    </w:p>
    <w:p>
      <w:pPr>
        <w:ind w:left="240"/>
      </w:pPr>
      <w:r>
        <w:t>降低小型处理者合规成本，9月1日起施行，平衡安全与产业发展。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《深化互联网协议第六版（IPv6）技术创新和融合应用实施方案（2026—2030年）》</w:t>
      </w:r>
    </w:p>
    <w:p>
      <w:r>
        <w:rPr>
          <w:color w:val="646464"/>
          <w:sz w:val="20"/>
        </w:rPr>
        <w:t>文　　号：暂无</w:t>
        <w:br/>
        <w:t>发文机关：国家互联网信息办公室等</w:t>
        <w:br/>
        <w:t>发文日期：2026-07-21</w:t>
        <w:br/>
        <w:t>原文链接：https://www.cac.gov.cn/wxzw/wxfb/A093702index_1.htm</w:t>
      </w:r>
    </w:p>
    <w:p>
      <w:pPr>
        <w:ind w:left="240"/>
      </w:pPr>
      <w:r>
        <w:t>部署IPv6技术创新与行业融合，推动下一代互联网规模应用。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《数据出境安全管理政策法规问答（2026年7月）》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发文日期：2026-07-24</w:t>
        <w:br/>
        <w:t>原文链接：https://cagd.gov.cn/c/a/12/1.html</w:t>
      </w:r>
    </w:p>
    <w:p>
      <w:pPr>
        <w:ind w:left="240"/>
      </w:pPr>
      <w:r>
        <w:t>以问答形式明确数据出境安全评估、认证与豁免适用情形。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《人工智能拟人化互动服务管理暂行办法》</w:t>
      </w:r>
    </w:p>
    <w:p>
      <w:r>
        <w:rPr>
          <w:color w:val="646464"/>
          <w:sz w:val="20"/>
        </w:rPr>
        <w:t>文　　号：暂无</w:t>
        <w:br/>
        <w:t>发文机关：国家互联网信息办公室等</w:t>
        <w:br/>
        <w:t>发文日期：2026-07-14</w:t>
      </w:r>
    </w:p>
    <w:p>
      <w:pPr>
        <w:ind w:left="240"/>
      </w:pPr>
      <w:r>
        <w:t>规范AI拟人化互动服务，明确标识、安全评估与用户保护要求。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《网络安全标识管理办法》</w:t>
      </w:r>
    </w:p>
    <w:p>
      <w:r>
        <w:rPr>
          <w:color w:val="646464"/>
          <w:sz w:val="20"/>
        </w:rPr>
        <w:t>文　　号：暂无</w:t>
        <w:br/>
        <w:t>发文机关：国家互联网信息办公室等</w:t>
        <w:br/>
        <w:t>发文日期：2026-06-30</w:t>
      </w:r>
    </w:p>
    <w:p>
      <w:pPr>
        <w:ind w:left="240"/>
      </w:pPr>
      <w:r>
        <w:t>建立网络安全标识制度，规范产品安全能力标注与市场准入。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《关于加快推进“人工智能+人社”应用发展的实施意见》</w:t>
      </w:r>
    </w:p>
    <w:p>
      <w:r>
        <w:rPr>
          <w:color w:val="646464"/>
          <w:sz w:val="20"/>
        </w:rPr>
        <w:t>文　　号：暂无</w:t>
        <w:br/>
        <w:t>发文机关：人力资源和社会保障部</w:t>
        <w:br/>
        <w:t>发文日期：2026-06-22</w:t>
        <w:br/>
        <w:t>原文链接：https://www.mohrss.gov.cn/xxgk2020/fdzdgknr/qt/gztz/202607/t20260707_579740.html</w:t>
      </w:r>
    </w:p>
    <w:p>
      <w:pPr>
        <w:ind w:left="240"/>
      </w:pPr>
      <w:r>
        <w:t>推动AI在就业、社保等人社领域应用，整合数据资源与智能服务。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《人工智能大模型系列国家标准》</w:t>
      </w:r>
    </w:p>
    <w:p>
      <w:r>
        <w:rPr>
          <w:color w:val="646464"/>
          <w:sz w:val="20"/>
        </w:rPr>
        <w:t>文　　号：暂无</w:t>
        <w:br/>
        <w:t>发文机关：国家标准化管理委员会</w:t>
        <w:br/>
        <w:t>发文日期：2026-01-01</w:t>
      </w:r>
    </w:p>
    <w:p>
      <w:pPr>
        <w:ind w:left="240"/>
      </w:pPr>
      <w:r>
        <w:t>人工智能大模型系列国家标准实施，规范模型开发、评测与应用。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《关于通过备案的个人信息出境认证专业机构的公告》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发文日期：2026-01-01</w:t>
      </w:r>
    </w:p>
    <w:p>
      <w:pPr>
        <w:ind w:left="240"/>
      </w:pPr>
      <w:r>
        <w:t>公布通过备案的个人信息出境认证机构，便利数据跨境合规通道。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工信部9月9日印发《信息通信行业发展“十五五”规划》（工信部规〔2026〕188号），将5G演进、算力网络与数字基础设施列为十五五重点。逻辑：在“东数西算”工程进入中期评估后，政策重心从“建枢纽”转向“用算力”，通过规划刚性约束引导地方避免重复建设。研判：预计2026年底前国家数据局将配套出台算力并网与调度标准，地方算力券政策可能从补贴建设转向补贴使用，算力利用率将成为考核硬指标。</w:t>
      </w:r>
    </w:p>
    <w:p>
      <w:r>
        <w:rPr>
          <w:b/>
          <w:color w:val="5B6DE4"/>
        </w:rPr>
        <w:t xml:space="preserve">②  </w:t>
      </w:r>
      <w:r>
        <w:t>现象：网信办8月21日发布《促进网信企业高质量发展行动计划（2026-2030年）》，首次以五年行动计划形式提出“培育优质网信企业”主线。逻辑：面对国际竞争与国内经济下行压力，监管思路从“合规底线”转向“合规+发展”双目标，试图以制度确定性换取产业投资信心。研判：后续可能配套网信企业上市、融资便利化措施，但需警惕“高质量发展”标准模糊导致地方选择性执行，建议关注配套认定细则的出台节奏。</w:t>
      </w:r>
    </w:p>
    <w:p>
      <w:r>
        <w:rPr>
          <w:b/>
          <w:color w:val="5B6DE4"/>
        </w:rPr>
        <w:t xml:space="preserve">③  </w:t>
      </w:r>
      <w:r>
        <w:t>现象：网信办与公安部7月24日联合公布《小型个人信息处理者个人信息保护简化措施规定》，9月1日起施行，降低小微主体合规成本。逻辑：个人信息保护法实施后，中小微企业合规负担过重，政策通过分级分类监管实现“抓大放小”，同时为数据要素市场培育合格主体。研判：简化措施可能带来监管套利风险，需关注“小型处理者”认定标准是否被滥用，预计2027年将开展首轮实施效果评估并动态调整门槛。</w:t>
      </w:r>
    </w:p>
    <w:p>
      <w:r>
        <w:rPr>
          <w:b/>
          <w:color w:val="5B6DE4"/>
        </w:rPr>
        <w:t xml:space="preserve">④  </w:t>
      </w:r>
      <w:r>
        <w:t>现象：网信办7月21日发布《深化IPv6技术创新和融合应用实施方案（2026—2030年）》，将IPv6从“规模部署”推向“技术创新与融合应用”。逻辑：中国IPv6活跃用户数已超7亿，但流量占比与商业应用不足，政策试图以应用牵引拉动下一代互联网产业链。研判：IPv6与算力网络、工业互联网的融合将成为下一阶段重点，但需解决企业改造动力不足问题，预计将出现IPv6+行业专网试点，并可能与“东数西算”工程协同推进。</w:t>
      </w:r>
    </w:p>
    <w:p>
      <w:r>
        <w:rPr>
          <w:b/>
          <w:color w:val="5B6DE4"/>
        </w:rPr>
        <w:t xml:space="preserve">⑤  </w:t>
      </w:r>
      <w:r>
        <w:t>现象：网信办7月14日发布《人工智能拟人化互动服务管理暂行办法》，针对AI情感陪伴、虚拟数字人等拟人化服务设定标识与安全评估要求。逻辑：生成式AI从工具向“拟人化交互”演进，现有监管框架难以覆盖情感操纵、成瘾性设计等新风险，政策试图在创新与保护间划出边界。研判：该办法可能成为全球AI拟人化服务监管的先行样本，但“拟人化”定义模糊可能引发合规争议，预计将出台配套技术标准明确标识方式与评估流程。</w:t>
      </w:r>
    </w:p>
    <w:p>
      <w:r>
        <w:rPr>
          <w:b/>
          <w:color w:val="5B6DE4"/>
        </w:rPr>
        <w:t xml:space="preserve">⑥  </w:t>
      </w:r>
      <w:r>
        <w:t>现象：中国以“十五五”规划与网信企业行动计划推动数字产业高质量发展，欧盟AI Act进入分阶段实施期，日本数字厅推进AI法案与数据治理，美国则延续行政令与NIST框架的分散路径。逻辑：中国强调“发展+安全”双轮驱动，欧盟侧重风险分级与基本权利保护，日本聚焦社会5.0与数据流通，美国依赖行业自律与出口管制。研判：中国可借鉴欧盟风险分级方法细化AI监管颗粒度，同时警惕美国以出口管制构建技术壁垒；建议在数据跨境领域加快与日本、欧盟的互认谈判，避免规则碎片化增加企业成本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