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《2026年国家网络安全宣传周开幕式在山东济南举行》</w:t>
      </w:r>
    </w:p>
    <w:p>
      <w:r>
        <w:rPr>
          <w:color w:val="646464"/>
          <w:sz w:val="20"/>
        </w:rPr>
        <w:t>文　　号：暂无</w:t>
        <w:br/>
        <w:t>发文机关：中央网信办等联合主办</w:t>
        <w:br/>
        <w:t>发文日期：2026-09-14</w:t>
        <w:br/>
        <w:t>原文链接：https://www.comnews.cn/node_393.html</w:t>
      </w:r>
    </w:p>
    <w:p>
      <w:pPr>
        <w:ind w:left="240"/>
      </w:pPr>
      <w:r>
        <w:t>主题为“网络安全为人民，网络安全靠人民——智能时代 网安护航”，全国同步开展。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部署数字乡村基础设施、数据要素与公共服务数字化，明确五年目标与重点工程。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推动AI与软件全链条融合，部署智能编程、工业软件智能化等任务。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  <w:br/>
        <w:t>原文链接：https://mp.weixin.qq.com/s?__biz=MzA4MjU5MTUwOQ==&amp;mid=2654122457&amp;idx=2&amp;sn=a804e849ff834a921ae2e567848fd471&amp;chksm=85cb2a22e5eacd150513942a85e76b68d3638698c05a19f2493abd7b212ecdc4b25b8bba460b&amp;scene=27</w:t>
      </w:r>
    </w:p>
    <w:p>
      <w:pPr>
        <w:ind w:left="240"/>
      </w:pPr>
      <w:r>
        <w:t>建立网络数据安全风险评估制度，明确评估主体、流程与认证机构。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针对大型平台设定更严格个人信息保护义务，公开征求意见。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《2026年个人信息保护系列专项行动取得阶段性成效》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通报个人信息保护专项行动进展，覆盖App、SDK与重点行业。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梳理个人信息保护最新政策法规适用要点，回应实务问题。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《数字化绿色化协同转型发展专家解读》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解读数字化绿色化协同转型方向，强调融合创新与深度协同。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《高质量推进数字乡村建设专家解读》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解读数字乡村高质量发展行动计划，聚焦数据下沉与城乡融合。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《2026年国家网络安全宣传周》</w:t>
      </w:r>
    </w:p>
    <w:p>
      <w:r>
        <w:rPr>
          <w:color w:val="646464"/>
          <w:sz w:val="20"/>
        </w:rPr>
        <w:t>文　　号：暂无</w:t>
        <w:br/>
        <w:t>发文机关：中央网信办等联合主办</w:t>
        <w:br/>
        <w:t>发文日期：2026-09-14</w:t>
        <w:br/>
        <w:t>原文链接：https://www.chinasme.org.cn/html/mcms/daohang/tongzhigonggao/2099775109720809474.html</w:t>
      </w:r>
    </w:p>
    <w:p>
      <w:pPr>
        <w:ind w:left="240"/>
      </w:pPr>
      <w:r>
        <w:t>以“智能时代 网安护航”为主题，全国开展网络安全宣传与培训。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以问答形式明确数据出境安全评估、认证与豁免适用情形。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《新修改的中华人民共和国网络安全法施行》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发文日期：2026-01-01</w:t>
      </w:r>
    </w:p>
    <w:p>
      <w:pPr>
        <w:ind w:left="240"/>
      </w:pPr>
      <w:r>
        <w:t>修改后网络安全法施行，强化关键信息基础设施保护与法律责任。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《新修改的中华人民共和国网络安全法施行》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发文日期：2026-01-01</w:t>
      </w:r>
    </w:p>
    <w:p>
      <w:pPr>
        <w:ind w:left="240"/>
      </w:pPr>
      <w:r>
        <w:t>修改后网络安全法施行，强化关键信息基础设施保护与法律责任。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《人工智能大模型系列国家标准实施》</w:t>
      </w:r>
    </w:p>
    <w:p>
      <w:r>
        <w:rPr>
          <w:color w:val="646464"/>
          <w:sz w:val="20"/>
        </w:rPr>
        <w:t>文　　号：暂无</w:t>
        <w:br/>
        <w:t>发文机关：国家市场监督管理总局、国家标准化管理委员会</w:t>
        <w:br/>
        <w:t>发文日期：2026-01-08</w:t>
      </w:r>
    </w:p>
    <w:p>
      <w:pPr>
        <w:ind w:left="240"/>
      </w:pPr>
      <w:r>
        <w:t>大模型系列国家标准实施，规范训练、评测与安全要求。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《通过备案的个人信息出境认证专业机构名单发布》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发文日期：2026-01-08</w:t>
      </w:r>
    </w:p>
    <w:p>
      <w:pPr>
        <w:ind w:left="240"/>
      </w:pPr>
      <w:r>
        <w:t>公布通过备案的个人信息出境认证机构，便利数据跨境合规。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《2026年国家网络安全宣传周开幕式》</w:t>
      </w:r>
    </w:p>
    <w:p>
      <w:r>
        <w:rPr>
          <w:color w:val="646464"/>
          <w:sz w:val="20"/>
        </w:rPr>
        <w:t>文　　号：暂无</w:t>
        <w:br/>
        <w:t>发文机关：中央网信办等联合主办</w:t>
        <w:br/>
        <w:t>发文日期：2026-09-14</w:t>
        <w:br/>
        <w:t>原文链接：https://www.comnews.cn/node_393.html</w:t>
      </w:r>
    </w:p>
    <w:p>
      <w:pPr>
        <w:ind w:left="240"/>
      </w:pPr>
      <w:r>
        <w:t>以“智能时代 网安护航”为主题，全国开展网络安全宣传与培训。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部署数字乡村基础设施、数据要素与公共服务数字化，明确五年目标与重点工程。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推动AI与软件全链条融合，部署智能编程、工业软件智能化等任务。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  <w:br/>
        <w:t>原文链接：https://mp.weixin.qq.com/s?__biz=MzA4MjU5MTUwOQ==&amp;mid=2654122457&amp;idx=2&amp;sn=a804e849ff834a921ae2e567848fd471&amp;chksm=85cb2a22e5eacd150513942a85e76b68d3638698c05a19f2493abd7b212ecdc4b25b8bba460b&amp;scene=27</w:t>
      </w:r>
    </w:p>
    <w:p>
      <w:pPr>
        <w:ind w:left="240"/>
      </w:pPr>
      <w:r>
        <w:t>建立网络数据安全风险评估制度，明确评估主体、流程与认证机构。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针对大型平台设定更严格个人信息保护义务，公开征求意见。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以问答形式明确数据出境安全评估、认证与豁免适用情形。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《2026年个人信息保护系列专项行动取得阶段性成效》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通报个人信息保护专项行动进展，覆盖App、SDK与重点行业。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梳理个人信息保护最新政策法规适用要点，回应实务问题。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9月，工信部印发《“人工智能+软件”专项行动实施方案》（工信部信发〔2026〕209号），同期国家网信办发布《网络数据安全风险评估办法》并施行。逻辑：政策正从“单点鼓励AI”转向“AI与软件全链条融合+安全评估前置”，意图以安全合规为底座释放智能生产力。研判：预计年内将出现配套的AI软件安全测评标准与试点城市名单，企业需提前建立模型与数据双轨合规体系，避免“先上线后整改”的被动局面。</w:t>
      </w:r>
    </w:p>
    <w:p>
      <w:r>
        <w:rPr>
          <w:b/>
          <w:color w:val="5B6DE4"/>
        </w:rPr>
        <w:t xml:space="preserve">②  </w:t>
      </w:r>
      <w:r>
        <w:t>现象：国家网信办8月发布《大型个人信息处理者个人信息保护规定（征求意见稿）》，并通报2026年个人信息保护系列专项行动阶段性成效。逻辑：监管从“普遍合规”转向“分级分类”，对大型平台施加更重义务，体现“抓大放小、以点带面”的治理思路。研判：正式稿可能引入独立审计与年度报告制度，头部平台合规成本上升，但中小企业的合规负担有望通过简化规则得到缓解，行业集中度或进一步提升。</w:t>
      </w:r>
    </w:p>
    <w:p>
      <w:r>
        <w:rPr>
          <w:b/>
          <w:color w:val="5B6DE4"/>
        </w:rPr>
        <w:t xml:space="preserve">③  </w:t>
      </w:r>
      <w:r>
        <w:t>现象：中央网信办9月发布《数字乡村高质量发展行动计划（2026—2030年）》，并配发专家解读强调数据下沉与城乡融合。逻辑：数字中国建设进入“补短板”阶段，农村数据基础设施与公共服务数字化成为下一增长极，政策意图以数字化缩小城乡差距。研判：后续可能配套财政与用地支持，县域数据节点和农业数据要素市场将成投资热点，但需警惕“重建设轻运营”与数据孤岛问题。</w:t>
      </w:r>
    </w:p>
    <w:p>
      <w:r>
        <w:rPr>
          <w:b/>
          <w:color w:val="5B6DE4"/>
        </w:rPr>
        <w:t xml:space="preserve">④  </w:t>
      </w:r>
      <w:r>
        <w:t>现象：2026年国家网络安全宣传周于9月14日在济南开幕，主题为“智能时代 网安护航”，同期新修改的《网络安全法》已施行。逻辑：立法修订与年度宣传形成“制度+意识”双轮驱动，突出智能时代网络安全与AI安全的交叉风险。研判：关键信息基础设施保护将向AI系统延伸，运营者需关注模型供应链安全与算法可解释性，预计年底前出台AI安全专项检查指引。</w:t>
      </w:r>
    </w:p>
    <w:p>
      <w:r>
        <w:rPr>
          <w:b/>
          <w:color w:val="5B6DE4"/>
        </w:rPr>
        <w:t xml:space="preserve">⑤  </w:t>
      </w:r>
      <w:r>
        <w:t>现象：国家网信办7月发布《数据出境安全管理政策法规问答（2026年7月）》，并公布通过备案的个人信息出境认证专业机构。逻辑：在“数据主权”与“贸易便利化”之间寻求平衡，通过认证机构市场化运作降低企业合规成本，推动数据跨境“负面清单+认证”模式落地。研判：自贸区与粤港澳大湾区可能率先试点数据跨境流动白名单，跨国企业应优先完成出境认证，以抢占合规先机。</w:t>
      </w:r>
    </w:p>
    <w:p>
      <w:r>
        <w:rPr>
          <w:b/>
          <w:color w:val="5B6DE4"/>
        </w:rPr>
        <w:t xml:space="preserve">⑥  </w:t>
      </w:r>
      <w:r>
        <w:t>现象：中国以《网络安全法》修订、《网络数据安全风险评估办法》和“人工智能+软件”专项行动构建“安全+发展”双轨；欧盟《AI法案》按风险分级监管并强化GDPR执行；美国则延续NIST框架与行业自律，日本通过数字厅推动AI治理与数据共享。逻辑：中国强调安全前置与产业融合，欧盟侧重基本权利保护，美国偏重创新优先，日本聚焦社会5.0落地。研判：中国可借鉴欧盟风险分级方法细化AI监管，同时保持产业政策灵活性，避免合规成本抑制创新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