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生成日期：2026-10-28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部署“十五五”时期信息化发展目标、重点任务与保障措施。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启动5G应用“扬帆”行动重点城市总结评估，推动5G融合应用规模化。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《工业和信息化部决定成立工业软件标准化技术委员会》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《专家解读：把握信息革命历史机遇 高质量推进“十五五”信息化发展》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围绕国家信息化“十五五”规划，解读信息革命机遇与信息化发展路径。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《工业和信息化部办公厅关于开展2026年度5G应用“扬帆”行动重点城市总结评估工作的函》</w:t>
      </w:r>
    </w:p>
    <w:p>
      <w:r>
        <w:rPr>
          <w:color w:val="646464"/>
          <w:sz w:val="20"/>
        </w:rPr>
        <w:t>文　　号：工信厅联企业〔2026〕40号</w:t>
        <w:br/>
        <w:t>发文机关：工业和信息化部办公厅</w:t>
        <w:br/>
        <w:t>发文日期：2026-10-23</w:t>
        <w:br/>
        <w:t>原文链接：https://www.miit.gov.cn/search/zcwjk.html</w:t>
      </w:r>
    </w:p>
    <w:p>
      <w:pPr>
        <w:ind w:left="240"/>
      </w:pPr>
      <w:r>
        <w:t>以函件形式部署5G应用重点城市总结评估，明确评估范围与要求。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《国家信息化“十五五”规划》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明确“十五五”信息化发展目标、重点任务和保障措施。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《工业和信息化部决定成立工业软件标准化技术委员会》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原文链接：https://www.miit.gov.cn/search/zcwjk.html</w:t>
      </w:r>
    </w:p>
    <w:p>
      <w:pPr>
        <w:ind w:left="240"/>
      </w:pPr>
      <w:r>
        <w:t>成立工业软件标准化技术委员会，负责行业标准制修订工作。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《工业和信息化部办公厅关于开展2026年度5G应用“扬帆”行动重点城市总结评估工作的通知》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开展5G应用“扬帆”行动重点城市总结评估，推动5G应用规模化。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《专家解读：把握信息革命历史机遇 高质量推进“十五五”信息化发展》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发文日期：2026-10-23</w:t>
        <w:br/>
        <w:t>原文链接：https://www.cac.gov.cn/wxzw/zcfg/A093703index_1.htm</w:t>
      </w:r>
    </w:p>
    <w:p>
      <w:pPr>
        <w:ind w:left="240"/>
      </w:pPr>
      <w:r>
        <w:t>解读国家信息化“十五五”规划，阐述信息革命机遇与推进路径。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原文链接：https://www.miit.gov.cn/</w:t>
      </w:r>
    </w:p>
    <w:p>
      <w:pPr>
        <w:ind w:left="240"/>
      </w:pPr>
      <w:r>
        <w:t>四部门联合部署互联网基础资源高质量发展，提升资源供给与治理能力。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《促进平台经济大中小企业协同发展行动方案（2026—2028年）》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发文机关：工业和信息化部、中央网信办、国家发展改革委、科技部、商务部、市场监管总局、国家数据局</w:t>
        <w:br/>
        <w:t>发文日期：2026-06-18</w:t>
        <w:br/>
        <w:t>原文链接：https://www.miit.gov.cn/</w:t>
      </w:r>
    </w:p>
    <w:p>
      <w:pPr>
        <w:ind w:left="240"/>
      </w:pPr>
      <w:r>
        <w:t>七部门联合印发行动方案，系统推进平台经济大中小企业协同发展。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《2026年个人信息保护系列专项行动》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发文日期：2026-08-19</w:t>
        <w:br/>
        <w:t>原文链接：https://www.cac.gov.cn/wxzw/zcfg/A093703index_1.htm</w:t>
      </w:r>
    </w:p>
    <w:p>
      <w:pPr>
        <w:ind w:left="240"/>
      </w:pPr>
      <w:r>
        <w:t>开展个人信息保护系列专项行动并取得阶段性成效。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《GB/T 47969-2026 工业互联网数据要素登记要求》</w:t>
      </w:r>
    </w:p>
    <w:p>
      <w:r>
        <w:rPr>
          <w:color w:val="646464"/>
          <w:sz w:val="20"/>
        </w:rPr>
        <w:t>文　　号：GB/T 47969-2026</w:t>
        <w:br/>
        <w:t>发文机关：国家市场监督管理总局、国家标准化管理委员会</w:t>
        <w:br/>
        <w:t>发文日期：2026-01-01</w:t>
        <w:br/>
        <w:t>原文链接：https://baike.baidu.com/item/GB%2FT%2047969-2026</w:t>
      </w:r>
    </w:p>
    <w:p>
      <w:pPr>
        <w:ind w:left="240"/>
      </w:pPr>
      <w:r>
        <w:t>国家标准规定工业互联网数据要素登记要求，规范数据要素登记活动。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《2026年中国AI发展趋势前瞻》</w:t>
      </w:r>
    </w:p>
    <w:p>
      <w:r>
        <w:rPr>
          <w:color w:val="646464"/>
          <w:sz w:val="20"/>
        </w:rPr>
        <w:t>文　　号：暂无</w:t>
        <w:br/>
        <w:t>发文机关：国家数据局（数据引用）</w:t>
        <w:br/>
        <w:t>发文日期：2026-01-28</w:t>
        <w:br/>
        <w:t>原文链接：https://igz.gzwxb.gov.cn/context/contextId/215009</w:t>
      </w:r>
    </w:p>
    <w:p>
      <w:pPr>
        <w:ind w:left="240"/>
      </w:pPr>
      <w:r>
        <w:t>新华深读前瞻2026年中国AI发展趋势，引用国家数据局Token消耗数据。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《2026年上半年工业和信息化发展情况新闻发布会》</w:t>
      </w:r>
    </w:p>
    <w:p>
      <w:r>
        <w:rPr>
          <w:color w:val="646464"/>
          <w:sz w:val="20"/>
        </w:rPr>
        <w:t>文　　号：暂无</w:t>
        <w:br/>
        <w:t>发文机关：国务院新闻办公室、工业和信息化部</w:t>
        <w:br/>
        <w:t>发文日期：2026-07-20</w:t>
        <w:br/>
        <w:t>原文链接：http://www.scio.gov.cn/live/2026/39042/</w:t>
      </w:r>
    </w:p>
    <w:p>
      <w:pPr>
        <w:ind w:left="240"/>
      </w:pPr>
      <w:r>
        <w:t>工信部介绍2026年上半年工业和信息化发展情况并答记者问。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《2026年度5G应用“扬帆”行动重点城市总结评估工作》</w:t>
      </w:r>
    </w:p>
    <w:p>
      <w:r>
        <w:rPr>
          <w:color w:val="646464"/>
          <w:sz w:val="20"/>
        </w:rPr>
        <w:t>文　　号：暂无</w:t>
        <w:br/>
        <w:t>发文机关：工业和信息化部办公厅</w:t>
        <w:br/>
        <w:t>发文日期：2026-10-19</w:t>
        <w:br/>
        <w:t>原文链接：https://www.miit.gov.cn/search/zcwjk.html</w:t>
      </w:r>
    </w:p>
    <w:p>
      <w:pPr>
        <w:ind w:left="240"/>
      </w:pPr>
      <w:r>
        <w:t>启动5G应用“扬帆”行动重点城市总结评估，促进5G应用规模化发展。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国家网信办10月23日发布《国家信息化“十五五”规划》，同期配发专家解读，工信部10月23日公告成立工业软件标准化技术委员会（MIIT/TC11）。逻辑：信息化规划与标准化技术组织同步落地，表明“十五五”开局之年的政策重心从战略部署转向标准与执行体系建设，以标准化为抓手锁定技术路线和产业生态。研判：后续将有一批信息化、工业软件、数据要素相关行业标准密集立项，地方配套规划有望在年底前陆续出台，需关注标准制定中的企业参与度和国际衔接问题。</w:t>
      </w:r>
    </w:p>
    <w:p>
      <w:r>
        <w:rPr>
          <w:b/>
          <w:color w:val="5B6DE4"/>
        </w:rPr>
        <w:t xml:space="preserve">②  </w:t>
      </w:r>
      <w:r>
        <w:t>现象：工信部10月19日启动2026年度5G应用“扬帆”行动重点城市总结评估，10月23日又以工信厅联企业〔2026〕40号部署相关工作。逻辑：5G政策从“建网络”转向“评应用”，通过总结评估形成城市间竞争压力，推动5G融合应用从示范走向规模化复制。研判：评估结果可能成为后续资源倾斜和试点选择依据，重点城市将加速5G在工业、医疗、教育等场景落地，但需防范重指标轻实效、重复建设等问题。</w:t>
      </w:r>
    </w:p>
    <w:p>
      <w:r>
        <w:rPr>
          <w:b/>
          <w:color w:val="5B6DE4"/>
        </w:rPr>
        <w:t xml:space="preserve">③  </w:t>
      </w:r>
      <w:r>
        <w:t>现象：国家网信办8月7日就《大型个人信息处理者个人信息保护规定（征求意见稿）》公开征求意见，8月19日通报个人信息保护系列专项行动阶段性成效。逻辑：监管从“普遍合规”转向“分类分级、精准监管”，以大型平台为重点抓手，通过专项执法与制度细化双轮驱动，压实“守门人”责任。研判：正式规定有望在年底前出台，大型平台将面临更严格的独立监督、风险评估和报告义务，中小企业合规成本相对下降，监管资源向高风险主体集中。</w:t>
      </w:r>
    </w:p>
    <w:p>
      <w:r>
        <w:rPr>
          <w:b/>
          <w:color w:val="5B6DE4"/>
        </w:rPr>
        <w:t xml:space="preserve">④  </w:t>
      </w:r>
      <w:r>
        <w:t>现象：七部门6月18日联合印发《促进平台经济大中小企业协同发展行动方案（2026—2028年）》，四部门7月1日印发《关于推动互联网基础资源高质量发展的指导意见》。逻辑：平台经济治理从“专项整改”转向“促发展与强基础并重”，通过协同发展行动和基础资源升级，构建可持续的数字经济产业生态。研判：政策将推动平台企业开放能力、带动中小企业数字化转型，但需警惕平台垄断行为反弹，协同效果取决于数据共享和利益分配机制设计。</w:t>
      </w:r>
    </w:p>
    <w:p>
      <w:r>
        <w:rPr>
          <w:b/>
          <w:color w:val="5B6DE4"/>
        </w:rPr>
        <w:t xml:space="preserve">⑤  </w:t>
      </w:r>
      <w:r>
        <w:t>现象：GB/T 47969-2026《工业互联网数据要素登记要求》国家标准发布，国家数据局披露2025年6月底日均Token消耗量突破30万亿，较2024年初增长300多倍。逻辑：数据要素登记标准与AI应用爆发形成呼应，制度层面为数据确权、流通和资产化提供技术规范，产业层面AI推理需求激增倒逼算力与数据基础设施升级。研判：数据要素登记将在工业领域率先试点，Token消耗高增长将推动智能算力需求持续扩张，需关注数据登记中的权属界定和跨域互认难题。</w:t>
      </w:r>
    </w:p>
    <w:p>
      <w:r>
        <w:rPr>
          <w:b/>
          <w:color w:val="5B6DE4"/>
        </w:rPr>
        <w:t xml:space="preserve">⑥  </w:t>
      </w:r>
      <w:r>
        <w:t>现象：中国以《国家信息化“十五五”规划》和《大型个人信息处理者个人信息保护规定（征求意见稿）》推进制度细化；欧盟AI Act与GDPR持续强化风险分级和高额处罚；美国侧重行政令与NIST框架的灵活治理；日本数字厅推进AI与数据政策。逻辑：中国强调规划引领与分类监管并重，欧盟以统一立法设定高标准，美国以行政令和标准框架保持弹性，日本注重政府数字化统筹。研判：中国可借鉴欧盟风险分级思路完善AI治理细则，同时保持产业政策灵活性；企业需应对多法域合规差异，建议建立跨区域合规映射机制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