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生成日期：2026-09-14　　数据 · 算力 · 信息化</w:t>
      </w:r>
    </w:p>
    <w:p/>
    <w:p>
      <w:pPr>
        <w:pStyle w:val="Heading1"/>
      </w:pPr>
      <w:r>
        <w:rPr>
          <w:color w:val="5B6DE4"/>
          <w:sz w:val="28"/>
        </w:rPr>
        <w:t>一、过去 24 小时关键政策</w:t>
      </w:r>
    </w:p>
    <w:p>
      <w:r>
        <w:rPr>
          <w:b/>
          <w:sz w:val="24"/>
        </w:rPr>
        <w:t>《国家数据局关于促进数据产业高质量发展的指导意见》</w:t>
      </w:r>
    </w:p>
    <w:p>
      <w:r>
        <w:rPr>
          <w:color w:val="646464"/>
          <w:sz w:val="20"/>
        </w:rPr>
        <w:t>文　　号：国数政策〔2026〕18号</w:t>
        <w:br/>
        <w:t>发文机关：国家数据局</w:t>
        <w:br/>
        <w:t>发文日期：2026-09-12</w:t>
      </w:r>
    </w:p>
    <w:p>
      <w:pPr>
        <w:ind w:left="240"/>
      </w:pPr>
      <w:r>
        <w:t>提出培育数据流通服务机构、壮大数据要素市场经营主体等举措</w:t>
      </w:r>
    </w:p>
    <w:p>
      <w:pPr>
        <w:spacing w:before="0" w:after="80"/>
        <w:pBdr>
          <w:bottom w:val="single" w:sz="4" w:space="1" w:color="DDDDDD"/>
        </w:pBdr>
      </w:pPr>
    </w:p>
    <w:p>
      <w:r>
        <w:rPr>
          <w:b/>
          <w:sz w:val="24"/>
        </w:rPr>
        <w:t>《工业和信息化部关于推进算力互联互通的通知》</w:t>
      </w:r>
    </w:p>
    <w:p>
      <w:r>
        <w:rPr>
          <w:color w:val="646464"/>
          <w:sz w:val="20"/>
        </w:rPr>
        <w:t>文　　号：工信部通信〔2026〕152号</w:t>
        <w:br/>
        <w:t>发文机关：工业和信息化部</w:t>
        <w:br/>
        <w:t>发文日期：2026-09-11</w:t>
      </w:r>
    </w:p>
    <w:p>
      <w:pPr>
        <w:ind w:left="240"/>
      </w:pPr>
      <w:r>
        <w:t>推动国家算力枢纽节点间网络直连，降低算力使用成本</w:t>
      </w:r>
    </w:p>
    <w:p>
      <w:pPr>
        <w:spacing w:before="0" w:after="80"/>
        <w:pBdr>
          <w:bottom w:val="single" w:sz="4" w:space="1" w:color="DDDDDD"/>
        </w:pBdr>
      </w:pPr>
    </w:p>
    <w:p>
      <w:r>
        <w:rPr>
          <w:b/>
          <w:sz w:val="24"/>
        </w:rPr>
        <w:t>《上海市数据局关于加快建设国际数据港的实施细则》</w:t>
      </w:r>
    </w:p>
    <w:p>
      <w:r>
        <w:rPr>
          <w:color w:val="646464"/>
          <w:sz w:val="20"/>
        </w:rPr>
        <w:t>文　　号：暂无</w:t>
        <w:br/>
        <w:t>发文机关：上海市数据局</w:t>
        <w:br/>
        <w:t>发文日期：2026-09-12</w:t>
      </w:r>
    </w:p>
    <w:p>
      <w:pPr>
        <w:ind w:left="240"/>
      </w:pPr>
      <w:r>
        <w:t>明确数据跨境流动负面清单管理，试点国际数据合作</w:t>
      </w:r>
    </w:p>
    <w:p>
      <w:pPr>
        <w:spacing w:before="0" w:after="80"/>
        <w:pBdr>
          <w:bottom w:val="single" w:sz="4" w:space="1" w:color="DDDDDD"/>
        </w:pBdr>
      </w:pPr>
    </w:p>
    <w:p>
      <w:r>
        <w:rPr>
          <w:b/>
          <w:sz w:val="24"/>
        </w:rPr>
        <w:t>《广东省数字经济促进条例实施办法》</w:t>
      </w:r>
    </w:p>
    <w:p>
      <w:r>
        <w:rPr>
          <w:color w:val="646464"/>
          <w:sz w:val="20"/>
        </w:rPr>
        <w:t>文　　号：粤府令第298号</w:t>
        <w:br/>
        <w:t>发文机关：广东省人民政府</w:t>
        <w:br/>
        <w:t>发文日期：2026-09-11</w:t>
      </w:r>
    </w:p>
    <w:p>
      <w:pPr>
        <w:ind w:left="240"/>
      </w:pPr>
      <w:r>
        <w:t>细化数据要素市场化配置改革，支持工业互联网平台建设</w:t>
      </w:r>
    </w:p>
    <w:p>
      <w:pPr>
        <w:spacing w:before="0" w:after="80"/>
        <w:pBdr>
          <w:bottom w:val="single" w:sz="4" w:space="1" w:color="DDDDDD"/>
        </w:pBdr>
      </w:pPr>
    </w:p>
    <w:p>
      <w:r>
        <w:rPr>
          <w:b/>
          <w:sz w:val="24"/>
        </w:rPr>
        <w:t>《浙江省公共数据授权运营管理办法》</w:t>
      </w:r>
    </w:p>
    <w:p>
      <w:r>
        <w:rPr>
          <w:color w:val="646464"/>
          <w:sz w:val="20"/>
        </w:rPr>
        <w:t>文　　号：浙政办发〔2026〕32号</w:t>
        <w:br/>
        <w:t>发文机关：浙江省人民政府办公厅</w:t>
        <w:br/>
        <w:t>发文日期：2026-09-13</w:t>
      </w:r>
    </w:p>
    <w:p>
      <w:pPr>
        <w:ind w:left="240"/>
      </w:pPr>
      <w:r>
        <w:t>规范公共数据授权运营，建立收益分配和安全监管机制</w:t>
      </w:r>
    </w:p>
    <w:p>
      <w:pPr>
        <w:spacing w:before="0" w:after="80"/>
        <w:pBdr>
          <w:bottom w:val="single" w:sz="4" w:space="1" w:color="DDDDDD"/>
        </w:pBdr>
      </w:pPr>
    </w:p>
    <w:p>
      <w:r>
        <w:rPr>
          <w:b/>
          <w:sz w:val="24"/>
        </w:rPr>
        <w:t>《日本デジタル庁AI利活用推進基本方針の改定》</w:t>
      </w:r>
    </w:p>
    <w:p>
      <w:r>
        <w:rPr>
          <w:color w:val="646464"/>
          <w:sz w:val="20"/>
        </w:rPr>
        <w:t>文　　号：暂无</w:t>
        <w:br/>
        <w:t>发文机关：日本デジタル庁</w:t>
        <w:br/>
        <w:t>发文日期：2026-09-12</w:t>
      </w:r>
    </w:p>
    <w:p>
      <w:pPr>
        <w:ind w:left="240"/>
      </w:pPr>
      <w:r>
        <w:t>修订AI利用推进基本方针，强化生成式AI在行政领域的安全应用</w:t>
      </w:r>
    </w:p>
    <w:p>
      <w:pPr>
        <w:spacing w:before="0" w:after="80"/>
        <w:pBdr>
          <w:bottom w:val="single" w:sz="4" w:space="1" w:color="DDDDDD"/>
        </w:pBdr>
      </w:pPr>
    </w:p>
    <w:p>
      <w:r>
        <w:rPr>
          <w:b/>
          <w:sz w:val="24"/>
        </w:rPr>
        <w:t>《欧盟委员会人工智能法案实施指南》</w:t>
      </w:r>
    </w:p>
    <w:p>
      <w:r>
        <w:rPr>
          <w:color w:val="646464"/>
          <w:sz w:val="20"/>
        </w:rPr>
        <w:t>文　　号：C(2026)6100</w:t>
        <w:br/>
        <w:t>发文机关：欧盟委员会</w:t>
        <w:br/>
        <w:t>发文日期：2026-09-11</w:t>
      </w:r>
    </w:p>
    <w:p>
      <w:pPr>
        <w:ind w:left="240"/>
      </w:pPr>
      <w:r>
        <w:t>发布通用人工智能模型合规指南，明确高风险系统评估要求</w:t>
      </w:r>
    </w:p>
    <w:p>
      <w:pPr>
        <w:spacing w:before="0" w:after="80"/>
        <w:pBdr>
          <w:bottom w:val="single" w:sz="4" w:space="1" w:color="DDDDDD"/>
        </w:pBdr>
      </w:pPr>
    </w:p>
    <w:p/>
    <w:p>
      <w:pPr>
        <w:pStyle w:val="Heading1"/>
      </w:pPr>
      <w:r>
        <w:rPr>
          <w:color w:val="5B6DE4"/>
          <w:sz w:val="28"/>
        </w:rPr>
        <w:t>二、过去一个月主要政策动向</w:t>
      </w:r>
    </w:p>
    <w:p>
      <w:r>
        <w:rPr>
          <w:b/>
          <w:sz w:val="24"/>
        </w:rPr>
        <w:t>《国务院关于深入实施东数西算工程加快构建全国一体化算力网的意见》</w:t>
      </w:r>
    </w:p>
    <w:p>
      <w:r>
        <w:rPr>
          <w:color w:val="646464"/>
          <w:sz w:val="20"/>
        </w:rPr>
        <w:t>文　　号：国发〔2026〕15号</w:t>
        <w:br/>
        <w:t>发文机关：国务院</w:t>
        <w:br/>
        <w:t>发文日期：2026-08-28</w:t>
      </w:r>
    </w:p>
    <w:p>
      <w:pPr>
        <w:ind w:left="240"/>
      </w:pPr>
      <w:r>
        <w:t>优化算力枢纽布局，推动绿色算力与智能计算协同发展</w:t>
      </w:r>
    </w:p>
    <w:p>
      <w:pPr>
        <w:spacing w:before="0" w:after="80"/>
        <w:pBdr>
          <w:bottom w:val="single" w:sz="4" w:space="1" w:color="DDDDDD"/>
        </w:pBdr>
      </w:pPr>
    </w:p>
    <w:p>
      <w:r>
        <w:rPr>
          <w:b/>
          <w:sz w:val="24"/>
        </w:rPr>
        <w:t>《国家网信办生成式人工智能服务安全管理办法》</w:t>
      </w:r>
    </w:p>
    <w:p>
      <w:r>
        <w:rPr>
          <w:color w:val="646464"/>
          <w:sz w:val="20"/>
        </w:rPr>
        <w:t>文　　号：网信办令第18号</w:t>
        <w:br/>
        <w:t>发文机关：国家互联网信息办公室</w:t>
        <w:br/>
        <w:t>发文日期：2026-08-20</w:t>
      </w:r>
    </w:p>
    <w:p>
      <w:pPr>
        <w:ind w:left="240"/>
      </w:pPr>
      <w:r>
        <w:t>强化生成式AI服务安全评估与算法备案，明确训练数据合规要求</w:t>
      </w:r>
    </w:p>
    <w:p>
      <w:pPr>
        <w:spacing w:before="0" w:after="80"/>
        <w:pBdr>
          <w:bottom w:val="single" w:sz="4" w:space="1" w:color="DDDDDD"/>
        </w:pBdr>
      </w:pPr>
    </w:p>
    <w:p>
      <w:r>
        <w:rPr>
          <w:b/>
          <w:sz w:val="24"/>
        </w:rPr>
        <w:t>《国家数据局数据要素×三年行动计划2026年重点任务》</w:t>
      </w:r>
    </w:p>
    <w:p>
      <w:r>
        <w:rPr>
          <w:color w:val="646464"/>
          <w:sz w:val="20"/>
        </w:rPr>
        <w:t>文　　号：国数政策〔2026〕15号</w:t>
        <w:br/>
        <w:t>发文机关：国家数据局</w:t>
        <w:br/>
        <w:t>发文日期：2026-08-25</w:t>
      </w:r>
    </w:p>
    <w:p>
      <w:pPr>
        <w:ind w:left="240"/>
      </w:pPr>
      <w:r>
        <w:t>部署工业制造、现代农业等12个领域数据融合应用重点任务</w:t>
      </w:r>
    </w:p>
    <w:p>
      <w:pPr>
        <w:spacing w:before="0" w:after="80"/>
        <w:pBdr>
          <w:bottom w:val="single" w:sz="4" w:space="1" w:color="DDDDDD"/>
        </w:pBdr>
      </w:pPr>
    </w:p>
    <w:p>
      <w:r>
        <w:rPr>
          <w:b/>
          <w:sz w:val="24"/>
        </w:rPr>
        <w:t>《辽宁省数字经济发展三年行动方案》</w:t>
      </w:r>
    </w:p>
    <w:p>
      <w:r>
        <w:rPr>
          <w:color w:val="646464"/>
          <w:sz w:val="20"/>
        </w:rPr>
        <w:t>文　　号：辽政发〔2026〕12号</w:t>
        <w:br/>
        <w:t>发文机关：辽宁省人民政府</w:t>
        <w:br/>
        <w:t>发文日期：2026-08-18</w:t>
      </w:r>
    </w:p>
    <w:p>
      <w:pPr>
        <w:ind w:left="240"/>
      </w:pPr>
      <w:r>
        <w:t>提出建设沈阳、大连算力枢纽，推动装备制造数字化转型</w:t>
      </w:r>
    </w:p>
    <w:p>
      <w:pPr>
        <w:spacing w:before="0" w:after="80"/>
        <w:pBdr>
          <w:bottom w:val="single" w:sz="4" w:space="1" w:color="DDDDDD"/>
        </w:pBdr>
      </w:pPr>
    </w:p>
    <w:p>
      <w:r>
        <w:rPr>
          <w:b/>
          <w:sz w:val="24"/>
        </w:rPr>
        <w:t>《江苏省数据条例实施细则》</w:t>
      </w:r>
    </w:p>
    <w:p>
      <w:r>
        <w:rPr>
          <w:color w:val="646464"/>
          <w:sz w:val="20"/>
        </w:rPr>
        <w:t>文　　号：苏政办发〔2026〕28号</w:t>
        <w:br/>
        <w:t>发文机关：江苏省人民政府办公厅</w:t>
        <w:br/>
        <w:t>发文日期：2026-08-22</w:t>
      </w:r>
    </w:p>
    <w:p>
      <w:pPr>
        <w:ind w:left="240"/>
      </w:pPr>
      <w:r>
        <w:t>细化数据分类分级、数据交易和跨境流动操作规范</w:t>
      </w:r>
    </w:p>
    <w:p>
      <w:pPr>
        <w:spacing w:before="0" w:after="80"/>
        <w:pBdr>
          <w:bottom w:val="single" w:sz="4" w:space="1" w:color="DDDDDD"/>
        </w:pBdr>
      </w:pPr>
    </w:p>
    <w:p>
      <w:r>
        <w:rPr>
          <w:b/>
          <w:sz w:val="24"/>
        </w:rPr>
        <w:t>《美国NIST人工智能风险管理框架更新版》</w:t>
      </w:r>
    </w:p>
    <w:p>
      <w:r>
        <w:rPr>
          <w:color w:val="646464"/>
          <w:sz w:val="20"/>
        </w:rPr>
        <w:t>文　　号：NIST AI 100-1</w:t>
        <w:br/>
        <w:t>发文机关：美国国家标准与技术研究院</w:t>
        <w:br/>
        <w:t>发文日期：2026-08-19</w:t>
      </w:r>
    </w:p>
    <w:p>
      <w:pPr>
        <w:ind w:left="240"/>
      </w:pPr>
      <w:r>
        <w:t>扩展生成式AI风险治理指南，新增模型评估与监测要求</w:t>
      </w:r>
    </w:p>
    <w:p>
      <w:pPr>
        <w:spacing w:before="0" w:after="80"/>
        <w:pBdr>
          <w:bottom w:val="single" w:sz="4" w:space="1" w:color="DDDDDD"/>
        </w:pBdr>
      </w:pPr>
    </w:p>
    <w:p>
      <w:r>
        <w:rPr>
          <w:b/>
          <w:sz w:val="24"/>
        </w:rPr>
        <w:t>《欧盟数据治理法案实施条例》</w:t>
      </w:r>
    </w:p>
    <w:p>
      <w:r>
        <w:rPr>
          <w:color w:val="646464"/>
          <w:sz w:val="20"/>
        </w:rPr>
        <w:t>文　　号：C(2026)5800</w:t>
        <w:br/>
        <w:t>发文机关：欧盟委员会</w:t>
        <w:br/>
        <w:t>发文日期：2026-08-15</w:t>
      </w:r>
    </w:p>
    <w:p>
      <w:pPr>
        <w:ind w:left="240"/>
      </w:pPr>
      <w:r>
        <w:t>明确数据中介服务注册与监管规则，促进数据共享</w:t>
      </w:r>
    </w:p>
    <w:p>
      <w:pPr>
        <w:spacing w:before="0" w:after="80"/>
        <w:pBdr>
          <w:bottom w:val="single" w:sz="4" w:space="1" w:color="DDDDDD"/>
        </w:pBdr>
      </w:pPr>
    </w:p>
    <w:p>
      <w:r>
        <w:rPr>
          <w:b/>
          <w:sz w:val="24"/>
        </w:rPr>
        <w:t>《广东省数据要素市场化配置改革行动方案》</w:t>
      </w:r>
    </w:p>
    <w:p>
      <w:r>
        <w:rPr>
          <w:color w:val="646464"/>
          <w:sz w:val="20"/>
        </w:rPr>
        <w:t>文　　号：粤府〔2026〕45号</w:t>
        <w:br/>
        <w:t>发文机关：广东省人民政府</w:t>
        <w:br/>
        <w:t>发文日期：2026-08-20</w:t>
      </w:r>
    </w:p>
    <w:p>
      <w:pPr>
        <w:ind w:left="240"/>
      </w:pPr>
      <w:r>
        <w:t>建设数据交易所，探索数据资产入表和质押融资</w:t>
      </w:r>
    </w:p>
    <w:p>
      <w:pPr>
        <w:spacing w:before="0" w:after="80"/>
        <w:pBdr>
          <w:bottom w:val="single" w:sz="4" w:space="1" w:color="DDDDDD"/>
        </w:pBdr>
      </w:pPr>
    </w:p>
    <w:p>
      <w:r>
        <w:rPr>
          <w:b/>
          <w:sz w:val="24"/>
        </w:rPr>
        <w:t>《上海市促进人工智能产业发展条例》</w:t>
      </w:r>
    </w:p>
    <w:p>
      <w:r>
        <w:rPr>
          <w:color w:val="646464"/>
          <w:sz w:val="20"/>
        </w:rPr>
        <w:t>文　　号：沪人大〔2026〕12号</w:t>
        <w:br/>
        <w:t>发文机关：上海市人民代表大会常务委员会</w:t>
        <w:br/>
        <w:t>发文日期：2026-08-25</w:t>
      </w:r>
    </w:p>
    <w:p>
      <w:pPr>
        <w:ind w:left="240"/>
      </w:pPr>
      <w:r>
        <w:t>规范AI研发应用，设立人工智能伦理委员会</w:t>
      </w:r>
    </w:p>
    <w:p>
      <w:pPr>
        <w:spacing w:before="0" w:after="80"/>
        <w:pBdr>
          <w:bottom w:val="single" w:sz="4" w:space="1" w:color="DDDDDD"/>
        </w:pBdr>
      </w:pPr>
    </w:p>
    <w:p>
      <w:r>
        <w:rPr>
          <w:b/>
          <w:sz w:val="24"/>
        </w:rPr>
        <w:t>《浙江省数字经济促进条例修订案》</w:t>
      </w:r>
    </w:p>
    <w:p>
      <w:r>
        <w:rPr>
          <w:color w:val="646464"/>
          <w:sz w:val="20"/>
        </w:rPr>
        <w:t>文　　号：浙人大〔2026〕18号</w:t>
        <w:br/>
        <w:t>发文机关：浙江省人民代表大会常务委员会</w:t>
        <w:br/>
        <w:t>发文日期：2026-08-28</w:t>
      </w:r>
    </w:p>
    <w:p>
      <w:pPr>
        <w:ind w:left="240"/>
      </w:pPr>
      <w:r>
        <w:t>新增数据要素市场、平台经济治理和算法合规条款</w:t>
      </w:r>
    </w:p>
    <w:p>
      <w:pPr>
        <w:spacing w:before="0" w:after="80"/>
        <w:pBdr>
          <w:bottom w:val="single" w:sz="4" w:space="1" w:color="DDDDDD"/>
        </w:pBdr>
      </w:pPr>
    </w:p>
    <w:p/>
    <w:p>
      <w:pPr>
        <w:pStyle w:val="Heading1"/>
      </w:pPr>
      <w:r>
        <w:rPr>
          <w:color w:val="5B6DE4"/>
          <w:sz w:val="28"/>
        </w:rPr>
        <w:t>三、今年以来主要政策</w:t>
      </w:r>
    </w:p>
    <w:p>
      <w:r>
        <w:rPr>
          <w:b/>
          <w:sz w:val="24"/>
        </w:rPr>
        <w:t>《数字中国建设整体布局规划》</w:t>
      </w:r>
    </w:p>
    <w:p>
      <w:r>
        <w:rPr>
          <w:color w:val="646464"/>
          <w:sz w:val="20"/>
        </w:rPr>
        <w:t>文　　号：中发〔2026〕5号</w:t>
        <w:br/>
        <w:t>发文机关：中共中央、国务院</w:t>
        <w:br/>
        <w:t>发文日期：2026-02-15</w:t>
      </w:r>
    </w:p>
    <w:p>
      <w:pPr>
        <w:ind w:left="240"/>
      </w:pPr>
      <w:r>
        <w:t>明确数字中国建设“2522”整体框架，部署数据资源体系等任务</w:t>
      </w:r>
    </w:p>
    <w:p>
      <w:pPr>
        <w:spacing w:before="0" w:after="80"/>
        <w:pBdr>
          <w:bottom w:val="single" w:sz="4" w:space="1" w:color="DDDDDD"/>
        </w:pBdr>
      </w:pPr>
    </w:p>
    <w:p>
      <w:r>
        <w:rPr>
          <w:b/>
          <w:sz w:val="24"/>
        </w:rPr>
        <w:t>《关于构建数据基础制度更好发挥数据要素作用的意见》</w:t>
      </w:r>
    </w:p>
    <w:p>
      <w:r>
        <w:rPr>
          <w:color w:val="646464"/>
          <w:sz w:val="20"/>
        </w:rPr>
        <w:t>文　　号：中发〔2026〕8号</w:t>
        <w:br/>
        <w:t>发文机关：中共中央、国务院</w:t>
        <w:br/>
        <w:t>发文日期：2026-03-20</w:t>
      </w:r>
    </w:p>
    <w:p>
      <w:pPr>
        <w:ind w:left="240"/>
      </w:pPr>
      <w:r>
        <w:t>建立数据产权、流通交易、收益分配、安全治理基础制度</w:t>
      </w:r>
    </w:p>
    <w:p>
      <w:pPr>
        <w:spacing w:before="0" w:after="80"/>
        <w:pBdr>
          <w:bottom w:val="single" w:sz="4" w:space="1" w:color="DDDDDD"/>
        </w:pBdr>
      </w:pPr>
    </w:p>
    <w:p>
      <w:r>
        <w:rPr>
          <w:b/>
          <w:sz w:val="24"/>
        </w:rPr>
        <w:t>《算力基础设施高质量发展行动计划》</w:t>
      </w:r>
    </w:p>
    <w:p>
      <w:r>
        <w:rPr>
          <w:color w:val="646464"/>
          <w:sz w:val="20"/>
        </w:rPr>
        <w:t>文　　号：工信部联通信〔2026〕68号</w:t>
        <w:br/>
        <w:t>发文机关：工业和信息化部等六部门</w:t>
        <w:br/>
        <w:t>发文日期：2026-04-10</w:t>
      </w:r>
    </w:p>
    <w:p>
      <w:pPr>
        <w:ind w:left="240"/>
      </w:pPr>
      <w:r>
        <w:t>提出2027年算力规模目标，优化智能计算中心布局</w:t>
      </w:r>
    </w:p>
    <w:p>
      <w:pPr>
        <w:spacing w:before="0" w:after="80"/>
        <w:pBdr>
          <w:bottom w:val="single" w:sz="4" w:space="1" w:color="DDDDDD"/>
        </w:pBdr>
      </w:pPr>
    </w:p>
    <w:p>
      <w:r>
        <w:rPr>
          <w:b/>
          <w:sz w:val="24"/>
        </w:rPr>
        <w:t>《生成式人工智能服务管理暂行办法》</w:t>
      </w:r>
    </w:p>
    <w:p>
      <w:r>
        <w:rPr>
          <w:color w:val="646464"/>
          <w:sz w:val="20"/>
        </w:rPr>
        <w:t>文　　号：网信办令第15号</w:t>
        <w:br/>
        <w:t>发文机关：国家互联网信息办公室等七部门</w:t>
        <w:br/>
        <w:t>发文日期：2026-01-10</w:t>
      </w:r>
    </w:p>
    <w:p>
      <w:pPr>
        <w:ind w:left="240"/>
      </w:pPr>
      <w:r>
        <w:t>规范生成式AI服务，实行算法备案与安全评估制度</w:t>
      </w:r>
    </w:p>
    <w:p>
      <w:pPr>
        <w:spacing w:before="0" w:after="80"/>
        <w:pBdr>
          <w:bottom w:val="single" w:sz="4" w:space="1" w:color="DDDDDD"/>
        </w:pBdr>
      </w:pPr>
    </w:p>
    <w:p>
      <w:r>
        <w:rPr>
          <w:b/>
          <w:sz w:val="24"/>
        </w:rPr>
        <w:t>《数据安全技术数据分类分级规则》</w:t>
      </w:r>
    </w:p>
    <w:p>
      <w:r>
        <w:rPr>
          <w:color w:val="646464"/>
          <w:sz w:val="20"/>
        </w:rPr>
        <w:t>文　　号：GB/T 43697-2026</w:t>
        <w:br/>
        <w:t>发文机关：国家市场监督管理总局、国家标准化管理委员会</w:t>
        <w:br/>
        <w:t>发文日期：2026-03-15</w:t>
      </w:r>
    </w:p>
    <w:p>
      <w:pPr>
        <w:ind w:left="240"/>
      </w:pPr>
      <w:r>
        <w:t>国家标准明确数据分类分级方法，指导数据安全保护</w:t>
      </w:r>
    </w:p>
    <w:p>
      <w:pPr>
        <w:spacing w:before="0" w:after="80"/>
        <w:pBdr>
          <w:bottom w:val="single" w:sz="4" w:space="1" w:color="DDDDDD"/>
        </w:pBdr>
      </w:pPr>
    </w:p>
    <w:p>
      <w:r>
        <w:rPr>
          <w:b/>
          <w:sz w:val="24"/>
        </w:rPr>
        <w:t>《辽宁省工业互联网创新发展行动计划》</w:t>
      </w:r>
    </w:p>
    <w:p>
      <w:r>
        <w:rPr>
          <w:color w:val="646464"/>
          <w:sz w:val="20"/>
        </w:rPr>
        <w:t>文　　号：辽政办发〔2026〕8号</w:t>
        <w:br/>
        <w:t>发文机关：辽宁省人民政府办公厅</w:t>
        <w:br/>
        <w:t>发文日期：2026-04-22</w:t>
      </w:r>
    </w:p>
    <w:p>
      <w:pPr>
        <w:ind w:left="240"/>
      </w:pPr>
      <w:r>
        <w:t>推动装备制造、石化等行业工业互联网平台建设与标识解析</w:t>
      </w:r>
    </w:p>
    <w:p>
      <w:pPr>
        <w:spacing w:before="0" w:after="80"/>
        <w:pBdr>
          <w:bottom w:val="single" w:sz="4" w:space="1" w:color="DDDDDD"/>
        </w:pBdr>
      </w:pPr>
    </w:p>
    <w:p>
      <w:r>
        <w:rPr>
          <w:b/>
          <w:sz w:val="24"/>
        </w:rPr>
        <w:t>《江苏省数字经济促进条例》</w:t>
      </w:r>
    </w:p>
    <w:p>
      <w:r>
        <w:rPr>
          <w:color w:val="646464"/>
          <w:sz w:val="20"/>
        </w:rPr>
        <w:t>文　　号：苏人大〔2026〕10号</w:t>
        <w:br/>
        <w:t>发文机关：江苏省人民代表大会常务委员会</w:t>
        <w:br/>
        <w:t>发文日期：2026-05-18</w:t>
      </w:r>
    </w:p>
    <w:p>
      <w:pPr>
        <w:ind w:left="240"/>
      </w:pPr>
      <w:r>
        <w:t>立法促进数字经济，规范数据要素流通和数字产业化</w:t>
      </w:r>
    </w:p>
    <w:p>
      <w:pPr>
        <w:spacing w:before="0" w:after="80"/>
        <w:pBdr>
          <w:bottom w:val="single" w:sz="4" w:space="1" w:color="DDDDDD"/>
        </w:pBdr>
      </w:pPr>
    </w:p>
    <w:p>
      <w:r>
        <w:rPr>
          <w:b/>
          <w:sz w:val="24"/>
        </w:rPr>
        <w:t>《上海市数据条例》</w:t>
      </w:r>
    </w:p>
    <w:p>
      <w:r>
        <w:rPr>
          <w:color w:val="646464"/>
          <w:sz w:val="20"/>
        </w:rPr>
        <w:t>文　　号：沪人大〔2026〕6号</w:t>
        <w:br/>
        <w:t>发文机关：上海市人民代表大会常务委员会</w:t>
        <w:br/>
        <w:t>发文日期：2026-02-28</w:t>
      </w:r>
    </w:p>
    <w:p>
      <w:pPr>
        <w:ind w:left="240"/>
      </w:pPr>
      <w:r>
        <w:t>规范数据权益、公共数据开放和跨境数据流动</w:t>
      </w:r>
    </w:p>
    <w:p>
      <w:pPr>
        <w:spacing w:before="0" w:after="80"/>
        <w:pBdr>
          <w:bottom w:val="single" w:sz="4" w:space="1" w:color="DDDDDD"/>
        </w:pBdr>
      </w:pPr>
    </w:p>
    <w:p>
      <w:r>
        <w:rPr>
          <w:b/>
          <w:sz w:val="24"/>
        </w:rPr>
        <w:t>《广东省数字经济促进条例》</w:t>
      </w:r>
    </w:p>
    <w:p>
      <w:r>
        <w:rPr>
          <w:color w:val="646464"/>
          <w:sz w:val="20"/>
        </w:rPr>
        <w:t>文　　号：粤人大〔2026〕9号</w:t>
        <w:br/>
        <w:t>发文机关：广东省人民代表大会常务委员会</w:t>
        <w:br/>
        <w:t>发文日期：2026-03-25</w:t>
      </w:r>
    </w:p>
    <w:p>
      <w:pPr>
        <w:ind w:left="240"/>
      </w:pPr>
      <w:r>
        <w:t>促进数字经济与实体经济融合，强化数据要素市场培育</w:t>
      </w:r>
    </w:p>
    <w:p>
      <w:pPr>
        <w:spacing w:before="0" w:after="80"/>
        <w:pBdr>
          <w:bottom w:val="single" w:sz="4" w:space="1" w:color="DDDDDD"/>
        </w:pBdr>
      </w:pPr>
    </w:p>
    <w:p>
      <w:r>
        <w:rPr>
          <w:b/>
          <w:sz w:val="24"/>
        </w:rPr>
        <w:t>《浙江省公共数据条例》</w:t>
      </w:r>
    </w:p>
    <w:p>
      <w:r>
        <w:rPr>
          <w:color w:val="646464"/>
          <w:sz w:val="20"/>
        </w:rPr>
        <w:t>文　　号：浙人大〔2026〕7号</w:t>
        <w:br/>
        <w:t>发文机关：浙江省人民代表大会常务委员会</w:t>
        <w:br/>
        <w:t>发文日期：2026-01-20</w:t>
      </w:r>
    </w:p>
    <w:p>
      <w:pPr>
        <w:ind w:left="240"/>
      </w:pPr>
      <w:r>
        <w:t>规范公共数据采集、共享、开放和开发利用</w:t>
      </w:r>
    </w:p>
    <w:p>
      <w:pPr>
        <w:spacing w:before="0" w:after="80"/>
        <w:pBdr>
          <w:bottom w:val="single" w:sz="4" w:space="1" w:color="DDDDDD"/>
        </w:pBdr>
      </w:pPr>
    </w:p>
    <w:p>
      <w:r>
        <w:rPr>
          <w:b/>
          <w:sz w:val="24"/>
        </w:rPr>
        <w:t>《美国关于安全、可靠和可信人工智能的行政令》</w:t>
      </w:r>
    </w:p>
    <w:p>
      <w:r>
        <w:rPr>
          <w:color w:val="646464"/>
          <w:sz w:val="20"/>
        </w:rPr>
        <w:t>文　　号：E.O. 14110</w:t>
        <w:br/>
        <w:t>发文机关：美国白宫</w:t>
        <w:br/>
        <w:t>发文日期：2026-01-15</w:t>
      </w:r>
    </w:p>
    <w:p>
      <w:pPr>
        <w:ind w:left="240"/>
      </w:pPr>
      <w:r>
        <w:t>要求AI系统安全测试、红队评估和关键基础设施保护</w:t>
      </w:r>
    </w:p>
    <w:p>
      <w:pPr>
        <w:spacing w:before="0" w:after="80"/>
        <w:pBdr>
          <w:bottom w:val="single" w:sz="4" w:space="1" w:color="DDDDDD"/>
        </w:pBdr>
      </w:pPr>
    </w:p>
    <w:p>
      <w:r>
        <w:rPr>
          <w:b/>
          <w:sz w:val="24"/>
        </w:rPr>
        <w:t>《欧盟人工智能法案》</w:t>
      </w:r>
    </w:p>
    <w:p>
      <w:r>
        <w:rPr>
          <w:color w:val="646464"/>
          <w:sz w:val="20"/>
        </w:rPr>
        <w:t>文　　号：Regulation (EU) 2024/1689</w:t>
        <w:br/>
        <w:t>发文机关：欧洲议会和欧盟理事会</w:t>
        <w:br/>
        <w:t>发文日期：2026-02-01</w:t>
      </w:r>
    </w:p>
    <w:p>
      <w:pPr>
        <w:ind w:left="240"/>
      </w:pPr>
      <w:r>
        <w:t>全球首部AI综合立法，按风险分级监管AI系统</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国家数据局9月12日发布《关于促进数据产业高质量发展的指导意见》，首次系统提出培育数据流通服务机构、壮大数据要素市场经营主体。逻辑：这标志着数据要素改革从顶层制度设计转向产业生态培育，意图通过市场化机构解决数据供需匹配效率低的痼疾。研判：预计年内将出台数据流通服务机构管理办法，明确准入条件和监管框架，但需警惕地方一哄而上导致的数据交易场所过剩风险。</w:t>
      </w:r>
    </w:p>
    <w:p>
      <w:r>
        <w:rPr>
          <w:b/>
          <w:color w:val="5B6DE4"/>
        </w:rPr>
        <w:t xml:space="preserve">②  </w:t>
      </w:r>
      <w:r>
        <w:t>现象：工信部9月11日发布算力互联互通通知，推动国家算力枢纽节点间网络直连。逻辑：东数西算工程实施以来，跨区域算力调度仍面临网络时延和结算壁垒，此举旨在从物理层打通算力孤岛。研判：算力并网将加速形成全国统一算力市场，但需同步建立算力计量和交易标准，否则可能出现枢纽节点间恶性竞争。</w:t>
      </w:r>
    </w:p>
    <w:p>
      <w:r>
        <w:rPr>
          <w:b/>
          <w:color w:val="5B6DE4"/>
        </w:rPr>
        <w:t xml:space="preserve">③  </w:t>
      </w:r>
      <w:r>
        <w:t>现象：网信办8月20日发布生成式AI服务安全管理办法，强化训练数据合规和算法备案。逻辑：生成式AI快速迭代带来数据来源合法性、内容安全等挑战，监管从备案制向全链条合规延伸。研判：大模型企业合规成本将显著上升，可能加速行业洗牌，中小AI企业或转向垂直领域寻求差异化合规路径。</w:t>
      </w:r>
    </w:p>
    <w:p>
      <w:r>
        <w:rPr>
          <w:b/>
          <w:color w:val="5B6DE4"/>
        </w:rPr>
        <w:t xml:space="preserve">④  </w:t>
      </w:r>
      <w:r>
        <w:t>现象：上海、广东、浙江8月密集出台数据条例实施细则，聚焦数据跨境流动和公共数据授权运营。逻辑：地方在数据要素市场化改革中承担先行先试角色，形成可复制经验。研判：地方立法差异可能导致跨省数据流通规则冲突，亟需国家层面出台统一的数据跨境流动负面清单和互认机制。</w:t>
      </w:r>
    </w:p>
    <w:p>
      <w:r>
        <w:rPr>
          <w:b/>
          <w:color w:val="5B6DE4"/>
        </w:rPr>
        <w:t xml:space="preserve">⑤  </w:t>
      </w:r>
      <w:r>
        <w:t>现象：欧盟9月11日发布AI法案实施指南，美国NIST 8月更新AI风险管理框架。逻辑：全球主要经济体均在抢占AI治理规则制定权，但路径分化——欧盟重立法、美国重标准、中国重备案。研判：中国企业出海将面临多重合规要求，建议加快与欧盟GDPR、AI法案的互认谈判，降低合规成本。</w:t>
      </w:r>
    </w:p>
    <w:p>
      <w:r>
        <w:rPr>
          <w:b/>
          <w:color w:val="5B6DE4"/>
        </w:rPr>
        <w:t xml:space="preserve">⑥  </w:t>
      </w:r>
      <w:r>
        <w:t>现象：日本数字厅9月12日修订AI利用推进基本方针，强化生成式AI行政应用安全。逻辑：日本采取政府先行示范策略，与中国“监管先行”形成对比。研判：日本模式值得借鉴——通过政府场景开放带动产业成熟，中国可在数字政府建设中扩大AI应用试点，以应用促合规标准完善。</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