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生成日期：2026-07-30　　数据 · 算力 · 信息化</w:t>
      </w:r>
    </w:p>
    <w:p/>
    <w:p>
      <w:pPr>
        <w:pStyle w:val="Heading1"/>
      </w:pPr>
      <w:r>
        <w:rPr>
          <w:color w:val="5B6DE4"/>
          <w:sz w:val="28"/>
        </w:rPr>
        <w:t>一、过去 24 小时关键政策</w:t>
      </w:r>
    </w:p>
    <w:p>
      <w:r>
        <w:rPr>
          <w:b/>
          <w:sz w:val="24"/>
        </w:rPr>
        <w:t>《关于发布生成式人工智能服务已备案信息的公告(2026年5月至6月)》</w:t>
      </w:r>
    </w:p>
    <w:p>
      <w:r>
        <w:rPr>
          <w:color w:val="646464"/>
          <w:sz w:val="20"/>
        </w:rPr>
        <w:t>文　　号：暂无</w:t>
        <w:br/>
        <w:t>发文机关：中央网络安全和信息化委员会办公室</w:t>
        <w:br/>
        <w:t>发文日期：2026-07-21</w:t>
        <w:br/>
        <w:t>原文链接：https://www.cac.gov.cn/wxzw/wxfb/A093702index_1.htm</w:t>
      </w:r>
    </w:p>
    <w:p>
      <w:pPr>
        <w:ind w:left="240"/>
      </w:pPr>
      <w:r>
        <w:t>公布2026年5月至6月生成式AI服务备案信息</w:t>
      </w:r>
    </w:p>
    <w:p>
      <w:pPr>
        <w:spacing w:before="0" w:after="80"/>
        <w:pBdr>
          <w:bottom w:val="single" w:sz="4" w:space="1" w:color="DDDDDD"/>
        </w:pBdr>
      </w:pPr>
    </w:p>
    <w:p>
      <w:r>
        <w:rPr>
          <w:b/>
          <w:sz w:val="24"/>
        </w:rPr>
        <w:t>《2026年APEC数字和人工智能部长会议通过《成都声明》》</w:t>
      </w:r>
    </w:p>
    <w:p>
      <w:r>
        <w:rPr>
          <w:color w:val="646464"/>
          <w:sz w:val="20"/>
        </w:rPr>
        <w:t>文　　号：暂无</w:t>
        <w:br/>
        <w:t>发文机关：中央网络安全和信息化委员会办公室</w:t>
        <w:br/>
        <w:t>发文日期：2026-07-24</w:t>
      </w:r>
    </w:p>
    <w:p>
      <w:pPr>
        <w:ind w:left="240"/>
      </w:pPr>
      <w:r>
        <w:t>APEC数字和人工智能部长会议达成共识并发布声明</w:t>
      </w:r>
    </w:p>
    <w:p>
      <w:pPr>
        <w:spacing w:before="0" w:after="80"/>
        <w:pBdr>
          <w:bottom w:val="single" w:sz="4" w:space="1" w:color="DDDDDD"/>
        </w:pBdr>
      </w:pPr>
    </w:p>
    <w:p>
      <w:r>
        <w:rPr>
          <w:b/>
          <w:sz w:val="24"/>
        </w:rPr>
        <w:t>《工业和信息化部办公厅关于公布2025年物联网赋能行业发展典型案例名单的通知》</w:t>
      </w:r>
    </w:p>
    <w:p>
      <w:r>
        <w:rPr>
          <w:color w:val="646464"/>
          <w:sz w:val="20"/>
        </w:rPr>
        <w:t>文　　号：暂无</w:t>
        <w:br/>
        <w:t>发文机关：工业和信息化部</w:t>
        <w:br/>
        <w:t>发文日期：2026-07-22</w:t>
        <w:br/>
        <w:t>原文链接：https://wap.miit.gov.cn/zwgk/zcwj/wjfb/tz/index.html</w:t>
      </w:r>
    </w:p>
    <w:p>
      <w:pPr>
        <w:ind w:left="240"/>
      </w:pPr>
      <w:r>
        <w:t>公布2025年物联网赋能行业发展典型案例名单</w:t>
      </w:r>
    </w:p>
    <w:p>
      <w:pPr>
        <w:spacing w:before="0" w:after="80"/>
        <w:pBdr>
          <w:bottom w:val="single" w:sz="4" w:space="1" w:color="DDDDDD"/>
        </w:pBdr>
      </w:pPr>
    </w:p>
    <w:p>
      <w:r>
        <w:rPr>
          <w:b/>
          <w:sz w:val="24"/>
        </w:rPr>
        <w:t>《江门市工业和信息化局关于公布江门市国家级中小企业数字化转型城市试点数字化产品清单(更新至第十三批)的通知》</w:t>
      </w:r>
    </w:p>
    <w:p>
      <w:r>
        <w:rPr>
          <w:color w:val="646464"/>
          <w:sz w:val="20"/>
        </w:rPr>
        <w:t>文　　号：江工信工业互联网函〔2026〕63 号</w:t>
        <w:br/>
        <w:t>发文机关：江门市工业和信息化局</w:t>
        <w:br/>
        <w:t>发文日期：2026-07-24</w:t>
        <w:br/>
        <w:t>原文链接：https://www.jiangmen.gov.cn/jmgxj/gkmlpt/mindex</w:t>
      </w:r>
    </w:p>
    <w:p>
      <w:pPr>
        <w:ind w:left="240"/>
      </w:pPr>
      <w:r>
        <w:t>更新中小企业数字化转型城市试点数字化产品清单</w:t>
      </w:r>
    </w:p>
    <w:p>
      <w:pPr>
        <w:spacing w:before="0" w:after="80"/>
        <w:pBdr>
          <w:bottom w:val="single" w:sz="4" w:space="1" w:color="DDDDDD"/>
        </w:pBdr>
      </w:pPr>
    </w:p>
    <w:p>
      <w:r>
        <w:rPr>
          <w:b/>
          <w:sz w:val="24"/>
        </w:rPr>
        <w:t>《强化风险意识 确保安全可控——携手构建公正合理的全球人工智能治理体系》</w:t>
      </w:r>
    </w:p>
    <w:p>
      <w:r>
        <w:rPr>
          <w:color w:val="646464"/>
          <w:sz w:val="20"/>
        </w:rPr>
        <w:t>文　　号：暂无</w:t>
        <w:br/>
        <w:t>发文机关：通辽市教育局（转载）</w:t>
        <w:br/>
        <w:t>发文日期：2026-07-28</w:t>
        <w:br/>
        <w:t>原文链接：https://jyj.tongliao.gov.cn/xwzx/mrtt/202607/t20260720_1061020.html</w:t>
      </w:r>
    </w:p>
    <w:p>
      <w:pPr>
        <w:ind w:left="240"/>
      </w:pPr>
      <w:r>
        <w:t>强调AI安全治理，新修改网络安全法纳入AI监管</w:t>
      </w:r>
    </w:p>
    <w:p>
      <w:pPr>
        <w:spacing w:before="0" w:after="80"/>
        <w:pBdr>
          <w:bottom w:val="single" w:sz="4" w:space="1" w:color="DDDDDD"/>
        </w:pBdr>
      </w:pPr>
    </w:p>
    <w:p/>
    <w:p>
      <w:pPr>
        <w:pStyle w:val="Heading1"/>
      </w:pPr>
      <w:r>
        <w:rPr>
          <w:color w:val="5B6DE4"/>
          <w:sz w:val="28"/>
        </w:rPr>
        <w:t>二、过去一个月主要政策动向</w:t>
      </w:r>
    </w:p>
    <w:p>
      <w:r>
        <w:rPr>
          <w:b/>
          <w:sz w:val="24"/>
        </w:rPr>
        <w:t>《关于印发《实施网络安全标识的产品目录(第一批)》及相关实施规则的通知》</w:t>
      </w:r>
    </w:p>
    <w:p>
      <w:r>
        <w:rPr>
          <w:color w:val="646464"/>
          <w:sz w:val="20"/>
        </w:rPr>
        <w:t>文　　号：暂无</w:t>
        <w:br/>
        <w:t>发文机关：中央网络安全和信息化委员会办公室</w:t>
        <w:br/>
        <w:t>发文日期：2026-07-06</w:t>
        <w:br/>
        <w:t>原文链接：https://www.cac.gov.cn/wxzw/wxfb/A093702index_1.htm</w:t>
      </w:r>
    </w:p>
    <w:p>
      <w:pPr>
        <w:ind w:left="240"/>
      </w:pPr>
      <w:r>
        <w:t>发布首批网络安全标识产品目录及实施规则</w:t>
      </w:r>
    </w:p>
    <w:p>
      <w:pPr>
        <w:spacing w:before="0" w:after="80"/>
        <w:pBdr>
          <w:bottom w:val="single" w:sz="4" w:space="1" w:color="DDDDDD"/>
        </w:pBdr>
      </w:pPr>
    </w:p>
    <w:p>
      <w:r>
        <w:rPr>
          <w:b/>
          <w:sz w:val="24"/>
        </w:rPr>
        <w:t>《国家网信办等三部门联合公布《网络数据安全风险评估办法》》</w:t>
      </w:r>
    </w:p>
    <w:p>
      <w:r>
        <w:rPr>
          <w:color w:val="646464"/>
          <w:sz w:val="20"/>
        </w:rPr>
        <w:t>文　　号：暂无</w:t>
        <w:br/>
        <w:t>发文机关：国家网信办、国家发展改革委、工业和信息化部</w:t>
        <w:br/>
        <w:t>发文日期：2026-06-18</w:t>
        <w:br/>
        <w:t>原文链接：https://www.cac.gov.cn/wxzw/wxfb/A093702index_1.htm</w:t>
      </w:r>
    </w:p>
    <w:p>
      <w:pPr>
        <w:ind w:left="240"/>
      </w:pPr>
      <w:r>
        <w:t>联合公布网络数据安全风险评估办法</w:t>
      </w:r>
    </w:p>
    <w:p>
      <w:pPr>
        <w:spacing w:before="0" w:after="80"/>
        <w:pBdr>
          <w:bottom w:val="single" w:sz="4" w:space="1" w:color="DDDDDD"/>
        </w:pBdr>
      </w:pPr>
    </w:p>
    <w:p>
      <w:r>
        <w:rPr>
          <w:b/>
          <w:sz w:val="24"/>
        </w:rPr>
        <w:t>《人工智能拟人化互动服务管理暂行办法》</w:t>
      </w:r>
    </w:p>
    <w:p>
      <w:r>
        <w:rPr>
          <w:color w:val="646464"/>
          <w:sz w:val="20"/>
        </w:rPr>
        <w:t>文　　号：国家网信办等五部门令第21号</w:t>
        <w:br/>
        <w:t>发文机关：国家网信办、国家发展改革委、工业和信息化部、公安部、市场监管总局</w:t>
        <w:br/>
        <w:t>发文日期：2026-07-15</w:t>
        <w:br/>
        <w:t>原文链接：https://www.gov.cn/gongbao/2026/issue_12806/202606/content_7072472.html?webview_progress_bar=1&amp;push_animated=1&amp;show_loading=0&amp;theme=light</w:t>
      </w:r>
    </w:p>
    <w:p>
      <w:pPr>
        <w:ind w:left="240"/>
      </w:pPr>
      <w:r>
        <w:t>规范人工智能拟人化互动服务，7月15日起施行</w:t>
      </w:r>
    </w:p>
    <w:p>
      <w:pPr>
        <w:spacing w:before="0" w:after="80"/>
        <w:pBdr>
          <w:bottom w:val="single" w:sz="4" w:space="1" w:color="DDDDDD"/>
        </w:pBdr>
      </w:pPr>
    </w:p>
    <w:p>
      <w:r>
        <w:rPr>
          <w:b/>
          <w:sz w:val="24"/>
        </w:rPr>
        <w:t>《工业和信息化部等八部门印发《关于推动工业互联网高质量发展的实施意见》的通知》</w:t>
      </w:r>
    </w:p>
    <w:p>
      <w:r>
        <w:rPr>
          <w:color w:val="646464"/>
          <w:sz w:val="20"/>
        </w:rPr>
        <w:t>文　　号：暂无</w:t>
        <w:br/>
        <w:t>发文机关：工业和信息化部等八部门</w:t>
        <w:br/>
        <w:t>发文日期：2026-06-29</w:t>
        <w:br/>
        <w:t>原文链接：https://wap.miit.gov.cn/zwgk/zcwj/wjfb/tz/index.html</w:t>
      </w:r>
    </w:p>
    <w:p>
      <w:pPr>
        <w:ind w:left="240"/>
      </w:pPr>
      <w:r>
        <w:t>八部门联合印发推动工业互联网高质量发展实施意见</w:t>
      </w:r>
    </w:p>
    <w:p>
      <w:pPr>
        <w:spacing w:before="0" w:after="80"/>
        <w:pBdr>
          <w:bottom w:val="single" w:sz="4" w:space="1" w:color="DDDDDD"/>
        </w:pBdr>
      </w:pPr>
    </w:p>
    <w:p>
      <w:r>
        <w:rPr>
          <w:b/>
          <w:sz w:val="24"/>
        </w:rPr>
        <w:t>《省发展改革委关于省政协十三届三次会议第678号提案的答复（支持算力平台建设）》</w:t>
      </w:r>
    </w:p>
    <w:p>
      <w:r>
        <w:rPr>
          <w:color w:val="646464"/>
          <w:sz w:val="20"/>
        </w:rPr>
        <w:t>文　　号：暂无</w:t>
        <w:br/>
        <w:t>发文机关：浙江省发展和改革委员会</w:t>
        <w:br/>
        <w:t>发文日期：2026-06-25</w:t>
      </w:r>
    </w:p>
    <w:p>
      <w:pPr>
        <w:ind w:left="240"/>
      </w:pPr>
      <w:r>
        <w:t>浙江支持之江人工智能公共算力平台及万卡集群建设</w:t>
      </w:r>
    </w:p>
    <w:p>
      <w:pPr>
        <w:spacing w:before="0" w:after="80"/>
        <w:pBdr>
          <w:bottom w:val="single" w:sz="4" w:space="1" w:color="DDDDDD"/>
        </w:pBdr>
      </w:pPr>
    </w:p>
    <w:p>
      <w:r>
        <w:rPr>
          <w:b/>
          <w:sz w:val="24"/>
        </w:rPr>
        <w:t>《数据宝发布国内首个“数据·算力·Token”三合一AI基础设施平台》</w:t>
      </w:r>
    </w:p>
    <w:p>
      <w:r>
        <w:rPr>
          <w:color w:val="646464"/>
          <w:sz w:val="20"/>
        </w:rPr>
        <w:t>文　　号：暂无</w:t>
        <w:br/>
        <w:t>发文机关：贵安新区官网</w:t>
        <w:br/>
        <w:t>发文日期：2026-07-23</w:t>
      </w:r>
    </w:p>
    <w:p>
      <w:pPr>
        <w:ind w:left="240"/>
      </w:pPr>
      <w:r>
        <w:t>数据宝发布国内首个数据·算力·Token三合一AI基础设施平台</w:t>
      </w:r>
    </w:p>
    <w:p>
      <w:pPr>
        <w:spacing w:before="0" w:after="80"/>
        <w:pBdr>
          <w:bottom w:val="single" w:sz="4" w:space="1" w:color="DDDDDD"/>
        </w:pBdr>
      </w:pPr>
    </w:p>
    <w:p>
      <w:r>
        <w:rPr>
          <w:b/>
          <w:sz w:val="24"/>
        </w:rPr>
        <w:t>《2026年“人工智能+电竞创新应用大赛”正式启动》</w:t>
      </w:r>
    </w:p>
    <w:p>
      <w:r>
        <w:rPr>
          <w:color w:val="646464"/>
          <w:sz w:val="20"/>
        </w:rPr>
        <w:t>文　　号：暂无</w:t>
        <w:br/>
        <w:t>发文机关：广西壮族自治区大数据发展局</w:t>
        <w:br/>
        <w:t>发文日期：2026-07-15</w:t>
      </w:r>
    </w:p>
    <w:p>
      <w:pPr>
        <w:ind w:left="240"/>
      </w:pPr>
      <w:r>
        <w:t>广西启动人工智能+电竞创新应用大赛</w:t>
      </w:r>
    </w:p>
    <w:p>
      <w:pPr>
        <w:spacing w:before="0" w:after="80"/>
        <w:pBdr>
          <w:bottom w:val="single" w:sz="4" w:space="1" w:color="DDDDDD"/>
        </w:pBdr>
      </w:pPr>
    </w:p>
    <w:p/>
    <w:p>
      <w:pPr>
        <w:pStyle w:val="Heading1"/>
      </w:pPr>
      <w:r>
        <w:rPr>
          <w:color w:val="5B6DE4"/>
          <w:sz w:val="28"/>
        </w:rPr>
        <w:t>三、今年以来主要政策</w:t>
      </w:r>
    </w:p>
    <w:p>
      <w:r>
        <w:rPr>
          <w:b/>
          <w:sz w:val="24"/>
        </w:rPr>
        <w:t>《关于开展零碳工厂建设工作的指导意见》</w:t>
      </w:r>
    </w:p>
    <w:p>
      <w:r>
        <w:rPr>
          <w:color w:val="646464"/>
          <w:sz w:val="20"/>
        </w:rPr>
        <w:t>文　　号：工信部联节〔2026〕13号</w:t>
        <w:br/>
        <w:t>发文机关：工业和信息化部</w:t>
        <w:br/>
        <w:t>发文日期：2026-01-15</w:t>
        <w:br/>
        <w:t>原文链接：https://www.miit.gov.cn/search/wjfb.html?websiteid=110000000000000&amp;tpl=14&amp;category=51</w:t>
      </w:r>
    </w:p>
    <w:p>
      <w:pPr>
        <w:ind w:left="240"/>
      </w:pPr>
      <w:r>
        <w:t>推动零碳工厂建设，含零碳算力设施</w:t>
      </w:r>
    </w:p>
    <w:p>
      <w:pPr>
        <w:spacing w:before="0" w:after="80"/>
        <w:pBdr>
          <w:bottom w:val="single" w:sz="4" w:space="1" w:color="DDDDDD"/>
        </w:pBdr>
      </w:pPr>
    </w:p>
    <w:p>
      <w:r>
        <w:rPr>
          <w:b/>
          <w:sz w:val="24"/>
        </w:rPr>
        <w:t>《福州市工业和信息化局 福州市财政局关于组织开展2026年工业互联网专项资金申报工作的通知》</w:t>
      </w:r>
    </w:p>
    <w:p>
      <w:r>
        <w:rPr>
          <w:color w:val="646464"/>
          <w:sz w:val="20"/>
        </w:rPr>
        <w:t>文　　号：暂无</w:t>
        <w:br/>
        <w:t>发文机关：福州市工业和信息化局、福州市财政局</w:t>
        <w:br/>
        <w:t>发文日期：2026-03-26</w:t>
        <w:br/>
        <w:t>原文链接：https://www.fuzhou.gov.cn/zgfzzt/sjxw/zfxxgkzl/zc/xzgfxwj/202603/t20260326_5301054.htm</w:t>
      </w:r>
    </w:p>
    <w:p>
      <w:pPr>
        <w:ind w:left="240"/>
      </w:pPr>
      <w:r>
        <w:t>福州组织开展2026年工业互联网专项资金申报</w:t>
      </w:r>
    </w:p>
    <w:p>
      <w:pPr>
        <w:spacing w:before="0" w:after="80"/>
        <w:pBdr>
          <w:bottom w:val="single" w:sz="4" w:space="1" w:color="DDDDDD"/>
        </w:pBdr>
      </w:pPr>
    </w:p>
    <w:p>
      <w:r>
        <w:rPr>
          <w:b/>
          <w:sz w:val="24"/>
        </w:rPr>
        <w:t>《深圳市工业和信息化局关于发布2026年企业技术改造传统优势产业数字化转型项目申报的通知》</w:t>
      </w:r>
    </w:p>
    <w:p>
      <w:r>
        <w:rPr>
          <w:color w:val="646464"/>
          <w:sz w:val="20"/>
        </w:rPr>
        <w:t>文　　号：暂无</w:t>
        <w:br/>
        <w:t>发文机关：深圳市工业和信息化局</w:t>
        <w:br/>
        <w:t>发文日期：2026-02-09</w:t>
        <w:br/>
        <w:t>原文链接：http://www.sz.gov.cn/szzt2010/wgkzl/jcgk/jcygk/zdzcjc/content/post_12639381.html</w:t>
      </w:r>
    </w:p>
    <w:p>
      <w:pPr>
        <w:ind w:left="240"/>
      </w:pPr>
      <w:r>
        <w:t>深圳支持传统优势产业数字化转型项目申报</w:t>
      </w:r>
    </w:p>
    <w:p>
      <w:pPr>
        <w:spacing w:before="0" w:after="80"/>
        <w:pBdr>
          <w:bottom w:val="single" w:sz="4" w:space="1" w:color="DDDDDD"/>
        </w:pBdr>
      </w:pPr>
    </w:p>
    <w:p>
      <w:r>
        <w:rPr>
          <w:b/>
          <w:sz w:val="24"/>
        </w:rPr>
        <w:t>《欧盟《人工智能法案》(AI Act) 正式生效》</w:t>
      </w:r>
    </w:p>
    <w:p>
      <w:r>
        <w:rPr>
          <w:color w:val="646464"/>
          <w:sz w:val="20"/>
        </w:rPr>
        <w:t>文　　号：暂无</w:t>
        <w:br/>
        <w:t>发文机关：欧盟委员会</w:t>
        <w:br/>
        <w:t>发文日期：2026-01-01</w:t>
      </w:r>
    </w:p>
    <w:p>
      <w:pPr>
        <w:ind w:left="240"/>
      </w:pPr>
      <w:r>
        <w:t>欧盟AI法案正式生效，实施风险分级监管</w:t>
      </w:r>
    </w:p>
    <w:p>
      <w:pPr>
        <w:spacing w:before="0" w:after="80"/>
        <w:pBdr>
          <w:bottom w:val="single" w:sz="4" w:space="1" w:color="DDDDDD"/>
        </w:pBdr>
      </w:pPr>
    </w:p>
    <w:p>
      <w:r>
        <w:rPr>
          <w:b/>
          <w:sz w:val="24"/>
        </w:rPr>
        <w:t>《美国白宫发布关于人工智能安全、可靠和可信发展的行政令》</w:t>
      </w:r>
    </w:p>
    <w:p>
      <w:r>
        <w:rPr>
          <w:color w:val="646464"/>
          <w:sz w:val="20"/>
        </w:rPr>
        <w:t>文　　号：暂无</w:t>
        <w:br/>
        <w:t>发文机关：美国白宫</w:t>
        <w:br/>
        <w:t>发文日期：2026-03-15</w:t>
      </w:r>
    </w:p>
    <w:p>
      <w:pPr>
        <w:ind w:left="240"/>
      </w:pPr>
      <w:r>
        <w:t>美国发布AI行政令，要求安全、可靠、可信发展</w:t>
      </w:r>
    </w:p>
    <w:p>
      <w:pPr>
        <w:spacing w:before="0" w:after="80"/>
        <w:pBdr>
          <w:bottom w:val="single" w:sz="4" w:space="1" w:color="DDDDDD"/>
        </w:pBdr>
      </w:pPr>
    </w:p>
    <w:p>
      <w:r>
        <w:rPr>
          <w:b/>
          <w:sz w:val="24"/>
        </w:rPr>
        <w:t>《日本数字厅发布《AI战略2026》》</w:t>
      </w:r>
    </w:p>
    <w:p>
      <w:r>
        <w:rPr>
          <w:color w:val="646464"/>
          <w:sz w:val="20"/>
        </w:rPr>
        <w:t>文　　号：暂无</w:t>
        <w:br/>
        <w:t>发文机关：日本数字厅</w:t>
        <w:br/>
        <w:t>发文日期：2026-04-01</w:t>
      </w:r>
    </w:p>
    <w:p>
      <w:pPr>
        <w:ind w:left="240"/>
      </w:pPr>
      <w:r>
        <w:t>日本发布AI战略2026，推动产业应用与治理</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2026年7月15日，《人工智能拟人化互动服务管理暂行办法》正式施行，标志着中国对生成式AI的监管从“备案制”细化到“服务场景”层面。该办法由国家网信办等五部门联合发布，针对拟人化互动这一高敏感应用场景设定了明确的行为边界和合规要求。这表明监管层正从“框架立法”转向“场景化治理”，未来可能针对教育、医疗、金融等垂直领域推出更多专项规则，企业需提前建立场景化的合规能力。</w:t>
      </w:r>
    </w:p>
    <w:p>
      <w:r>
        <w:rPr>
          <w:b/>
          <w:color w:val="5B6DE4"/>
        </w:rPr>
        <w:t xml:space="preserve">②  </w:t>
      </w:r>
      <w:r>
        <w:t>趋势2（技术路线）：工信部于2026年4月启动“普惠算力赋能中小企业发展专项行动”，安徽、浙江等地同步推出算力券政策，推动算力从“高端资源”向“普惠服务”转变。这一政策逻辑在于：中小企业是数字化转型的薄弱环节，算力成本高企是主要障碍。通过政府补贴和平台共建，降低算力使用门槛，有望激活大量长尾应用场景。预计2026年下半年将有更多省份跟进，算力券或成为类似“创新券”的常态化工具。</w:t>
      </w:r>
    </w:p>
    <w:p>
      <w:r>
        <w:rPr>
          <w:b/>
          <w:color w:val="5B6DE4"/>
        </w:rPr>
        <w:t xml:space="preserve">③  </w:t>
      </w:r>
      <w:r>
        <w:t>趋势3（区域格局）：河北、天津、河南等北方省份密集出台算力与AI产业政策，与长三角、珠三角形成“南北竞合”态势。例如，河北提出到2025年算力规模达35EFlops，天津强调“京津冀枢纽节点”定位。这反映出东数西算工程正从“基础设施布局”向“产业生态培育”深化，北方地区试图通过算力优势吸引AI应用落地。但需警惕区域同质化竞争导致的资源浪费，差异化定位（如河北侧重数据标注、河南侧重5G+工业互联网）或成破局关键。</w:t>
      </w:r>
    </w:p>
    <w:p>
      <w:r>
        <w:rPr>
          <w:b/>
          <w:color w:val="5B6DE4"/>
        </w:rPr>
        <w:t xml:space="preserve">④  </w:t>
      </w:r>
      <w:r>
        <w:t>趋势4（产业影响）：2026年7月，数据宝发布国内首个“数据·算力·Token”三合一AI基础设施平台，标志着数据要素与算力资源开始深度融合。这一动向呼应了国家数据局成立后“数据要素×”行动的逻辑：数据只有与算力、算法结合才能释放价值。平台化整合将降低AI应用开发门槛，但也可能催生新的市场垄断风险。监管层需关注数据、算力、Token的定价机制与公平接入问题，防止形成新的“数字鸿沟”。</w:t>
      </w:r>
    </w:p>
    <w:p>
      <w:r>
        <w:rPr>
          <w:b/>
          <w:color w:val="5B6DE4"/>
        </w:rPr>
        <w:t xml:space="preserve">⑤  </w:t>
      </w:r>
      <w:r>
        <w:t>趋势5（安全合规）：2026年6月，国家网信办等三部门联合公布《网络数据安全风险评估办法》，7月又发布《实施网络安全标识的产品目录(第一批)》，安全合规要求持续加码。结合新修改的网络安全法将AI纳入法律体系，可见中国正构建“法律+规章+标准+标识”的多层次安全治理框架。对企业而言，合规成本将显著上升，但合规能力也将成为核心竞争力。预计2026年下半年将出现首批因不合规被处罚的AI服务案例，形成市场震慑。</w:t>
      </w:r>
    </w:p>
    <w:p>
      <w:r>
        <w:rPr>
          <w:b/>
          <w:color w:val="5B6DE4"/>
        </w:rPr>
        <w:t xml:space="preserve">⑥  </w:t>
      </w:r>
      <w:r>
        <w:t>趋势6（国际比较）：中国在AI治理上走“场景化立法+备案制”路线（如《人工智能拟人化互动服务管理暂行办法》），欧盟以《AI法案》实施风险分级监管，美国则通过行政令强调安全与创新平衡。三地差异明显：中国侧重事前备案与事后追责，欧盟强调风险分类与合规认证，美国更依赖行业自律与标准制定。中国在具体场景（如拟人化互动）上的快速响应值得肯定，但缺乏类似欧盟的顶层法律框架可能导致规则碎片化。未来，中国或需在“敏捷治理”与“体系化立法”之间找到更优平衡点，同时积极参与全球AI治理规则制定，如APEC《成都声明》所示。</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