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生成日期：2026-09-01　　数据 · 算力 · 信息化</w:t>
      </w:r>
    </w:p>
    <w:p/>
    <w:p>
      <w:pPr>
        <w:pStyle w:val="Heading1"/>
      </w:pPr>
      <w:r>
        <w:rPr>
          <w:color w:val="5B6DE4"/>
          <w:sz w:val="28"/>
        </w:rPr>
        <w:t>一、过去 24 小时关键政策</w:t>
      </w:r>
    </w:p>
    <w:p>
      <w:r>
        <w:rPr>
          <w:b/>
          <w:sz w:val="24"/>
        </w:rPr>
        <w:t>《国家数据局与约旦数字经济与创业部签署关于加强数字经济合作的谅解备忘录》</w:t>
      </w:r>
    </w:p>
    <w:p>
      <w:r>
        <w:rPr>
          <w:color w:val="646464"/>
          <w:sz w:val="20"/>
        </w:rPr>
        <w:t>文　　号：暂无</w:t>
        <w:br/>
        <w:t>发文机关：国家数据局</w:t>
        <w:br/>
        <w:t>发文日期：2026-08-31</w:t>
        <w:br/>
        <w:t>原文链接：https://www.nda.gov.cn/sjj/index_pc.html</w:t>
      </w:r>
    </w:p>
    <w:p>
      <w:pPr>
        <w:ind w:left="240"/>
      </w:pPr>
      <w:r>
        <w:t>国家数据局与约旦签署数字经济合作备忘录，推动跨境数据合作。</w:t>
      </w:r>
    </w:p>
    <w:p>
      <w:pPr>
        <w:spacing w:before="0" w:after="80"/>
        <w:pBdr>
          <w:bottom w:val="single" w:sz="4" w:space="1" w:color="DDDDDD"/>
        </w:pBdr>
      </w:pPr>
    </w:p>
    <w:p>
      <w:r>
        <w:rPr>
          <w:b/>
          <w:sz w:val="24"/>
        </w:rPr>
        <w:t>《国家数据局发布第五批公共数据跑起来相关成果》</w:t>
      </w:r>
    </w:p>
    <w:p>
      <w:r>
        <w:rPr>
          <w:color w:val="646464"/>
          <w:sz w:val="20"/>
        </w:rPr>
        <w:t>文　　号：暂无</w:t>
        <w:br/>
        <w:t>发文机关：国家数据局</w:t>
        <w:br/>
        <w:t>发文日期：2026-08-31</w:t>
        <w:br/>
        <w:t>原文链接：https://www.nda.gov.cn/sjj/index_pc.html</w:t>
      </w:r>
    </w:p>
    <w:p>
      <w:pPr>
        <w:ind w:left="240"/>
      </w:pPr>
      <w:r>
        <w:t>国家数据局发布第五批公共数据开发利用成果，促进数据要素流通。</w:t>
      </w:r>
    </w:p>
    <w:p>
      <w:pPr>
        <w:spacing w:before="0" w:after="80"/>
        <w:pBdr>
          <w:bottom w:val="single" w:sz="4" w:space="1" w:color="DDDDDD"/>
        </w:pBdr>
      </w:pPr>
    </w:p>
    <w:p/>
    <w:p>
      <w:pPr>
        <w:pStyle w:val="Heading1"/>
      </w:pPr>
      <w:r>
        <w:rPr>
          <w:color w:val="5B6DE4"/>
          <w:sz w:val="28"/>
        </w:rPr>
        <w:t>二、过去一个月主要政策动向</w:t>
      </w:r>
    </w:p>
    <w:p>
      <w:r>
        <w:rPr>
          <w:b/>
          <w:sz w:val="24"/>
        </w:rPr>
        <w:t>《工业绿色低碳发展“十五五”规划》</w:t>
      </w:r>
    </w:p>
    <w:p>
      <w:r>
        <w:rPr>
          <w:color w:val="646464"/>
          <w:sz w:val="20"/>
        </w:rPr>
        <w:t>文　　号：工信部规〔2026〕169号</w:t>
        <w:br/>
        <w:t>发文机关：工业和信息化部</w:t>
        <w:br/>
        <w:t>发文日期：2026-07-15</w:t>
        <w:br/>
        <w:t>原文链接：https://www.miit.gov.cn/zwgk/zcwj/wjfb/</w:t>
      </w:r>
    </w:p>
    <w:p>
      <w:pPr>
        <w:ind w:left="240"/>
      </w:pPr>
      <w:r>
        <w:t>工信部印发工业绿色低碳发展十五五规划，推动工业数字化绿色化协同。</w:t>
      </w:r>
    </w:p>
    <w:p>
      <w:pPr>
        <w:spacing w:before="0" w:after="80"/>
        <w:pBdr>
          <w:bottom w:val="single" w:sz="4" w:space="1" w:color="DDDDDD"/>
        </w:pBdr>
      </w:pPr>
    </w:p>
    <w:p>
      <w:r>
        <w:rPr>
          <w:b/>
          <w:sz w:val="24"/>
        </w:rPr>
        <w:t>《人工智能拟人化互动服务管理暂行办法》</w:t>
      </w:r>
    </w:p>
    <w:p>
      <w:r>
        <w:rPr>
          <w:color w:val="646464"/>
          <w:sz w:val="20"/>
        </w:rPr>
        <w:t>文　　号：国家网信办等令第21号</w:t>
        <w:br/>
        <w:t>发文机关：国家互联网信息办公室、国家发展改革委、工业和信息化部、公安部、市场监管总局</w:t>
        <w:br/>
        <w:t>发文日期：2026-07-15</w:t>
        <w:br/>
        <w:t>原文链接：https://www.gov.cn/gongbao/2026/issue_12806/202606/content_7072472.html?webview_progress_bar=1&amp;push_animated=1&amp;show_loading=0&amp;theme=light</w:t>
      </w:r>
    </w:p>
    <w:p>
      <w:pPr>
        <w:ind w:left="240"/>
      </w:pPr>
      <w:r>
        <w:t>规范AI拟人化互动服务，明确备案、标识、内容安全等全链条管理要求。</w:t>
      </w:r>
    </w:p>
    <w:p>
      <w:pPr>
        <w:spacing w:before="0" w:after="80"/>
        <w:pBdr>
          <w:bottom w:val="single" w:sz="4" w:space="1" w:color="DDDDDD"/>
        </w:pBdr>
      </w:pPr>
    </w:p>
    <w:p>
      <w:r>
        <w:rPr>
          <w:b/>
          <w:sz w:val="24"/>
        </w:rPr>
        <w:t>《小型个人信息处理者个人信息保护简化措施规定》</w:t>
      </w:r>
    </w:p>
    <w:p>
      <w:r>
        <w:rPr>
          <w:color w:val="646464"/>
          <w:sz w:val="20"/>
        </w:rPr>
        <w:t>文　　号：暂无</w:t>
        <w:br/>
        <w:t>发文机关：国家互联网信息办公室、公安部</w:t>
        <w:br/>
        <w:t>发文日期：2026-07-24</w:t>
        <w:br/>
        <w:t>原文链接：https://www.cac.gov.cn/wxzw/wxfb/A093702index_1.htm</w:t>
      </w:r>
    </w:p>
    <w:p>
      <w:pPr>
        <w:ind w:left="240"/>
      </w:pPr>
      <w:r>
        <w:t>为小型个人信息处理者提供简化合规措施，减轻中小企业负担。</w:t>
      </w:r>
    </w:p>
    <w:p>
      <w:pPr>
        <w:spacing w:before="0" w:after="80"/>
        <w:pBdr>
          <w:bottom w:val="single" w:sz="4" w:space="1" w:color="DDDDDD"/>
        </w:pBdr>
      </w:pPr>
    </w:p>
    <w:p>
      <w:r>
        <w:rPr>
          <w:b/>
          <w:sz w:val="24"/>
        </w:rPr>
        <w:t>《深化互联网协议第六版（IPv6）技术创新和融合应用实施方案》</w:t>
      </w:r>
    </w:p>
    <w:p>
      <w:r>
        <w:rPr>
          <w:color w:val="646464"/>
          <w:sz w:val="20"/>
        </w:rPr>
        <w:t>文　　号：暂无</w:t>
        <w:br/>
        <w:t>发文机关：国家互联网信息办公室</w:t>
        <w:br/>
        <w:t>发文日期：2026-07-24</w:t>
        <w:br/>
        <w:t>原文链接：https://www.cac.gov.cn/wxzw/wxfb/A093702index_1.htm</w:t>
      </w:r>
    </w:p>
    <w:p>
      <w:pPr>
        <w:ind w:left="240"/>
      </w:pPr>
      <w:r>
        <w:t>深化IPv6技术创新与融合应用，夯实数字中国网络底座。</w:t>
      </w:r>
    </w:p>
    <w:p>
      <w:pPr>
        <w:spacing w:before="0" w:after="80"/>
        <w:pBdr>
          <w:bottom w:val="single" w:sz="4" w:space="1" w:color="DDDDDD"/>
        </w:pBdr>
      </w:pPr>
    </w:p>
    <w:p>
      <w:r>
        <w:rPr>
          <w:b/>
          <w:sz w:val="24"/>
        </w:rPr>
        <w:t>《国家信息化发展报告（2025年）》</w:t>
      </w:r>
    </w:p>
    <w:p>
      <w:r>
        <w:rPr>
          <w:color w:val="646464"/>
          <w:sz w:val="20"/>
        </w:rPr>
        <w:t>文　　号：暂无</w:t>
        <w:br/>
        <w:t>发文机关：国家互联网信息办公室</w:t>
        <w:br/>
        <w:t>发文日期：2026-08-07</w:t>
        <w:br/>
        <w:t>原文链接：https://www.cac.gov.cn/wxzw/wxfb/A093702index_1.htm</w:t>
      </w:r>
    </w:p>
    <w:p>
      <w:pPr>
        <w:ind w:left="240"/>
      </w:pPr>
      <w:r>
        <w:t>全面总结2025年国家信息化发展成效，部署下一阶段重点任务。</w:t>
      </w:r>
    </w:p>
    <w:p>
      <w:pPr>
        <w:spacing w:before="0" w:after="80"/>
        <w:pBdr>
          <w:bottom w:val="single" w:sz="4" w:space="1" w:color="DDDDDD"/>
        </w:pBdr>
      </w:pPr>
    </w:p>
    <w:p/>
    <w:p>
      <w:pPr>
        <w:pStyle w:val="Heading1"/>
      </w:pPr>
      <w:r>
        <w:rPr>
          <w:color w:val="5B6DE4"/>
          <w:sz w:val="28"/>
        </w:rPr>
        <w:t>三、今年以来主要政策</w:t>
      </w:r>
    </w:p>
    <w:p>
      <w:r>
        <w:rPr>
          <w:b/>
          <w:sz w:val="24"/>
        </w:rPr>
        <w:t>《全国数据资源调查报告（2025年）》</w:t>
      </w:r>
    </w:p>
    <w:p>
      <w:r>
        <w:rPr>
          <w:color w:val="646464"/>
          <w:sz w:val="20"/>
        </w:rPr>
        <w:t>文　　号：暂无</w:t>
        <w:br/>
        <w:t>发文机关：国家数据局</w:t>
        <w:br/>
        <w:t>发文日期：2026-04-29</w:t>
        <w:br/>
        <w:t>原文链接：https://www.nda.gov.cn/sjj/swdt/xwfb/0429/20260429164803571173880_pc.html</w:t>
      </w:r>
    </w:p>
    <w:p>
      <w:pPr>
        <w:ind w:left="240"/>
      </w:pPr>
      <w:r>
        <w:t>报告显示数据要素市场化价值化进程提速，供给、流通、开发体系协同。</w:t>
      </w:r>
    </w:p>
    <w:p>
      <w:pPr>
        <w:spacing w:before="0" w:after="80"/>
        <w:pBdr>
          <w:bottom w:val="single" w:sz="4" w:space="1" w:color="DDDDDD"/>
        </w:pBdr>
      </w:pPr>
    </w:p>
    <w:p>
      <w:r>
        <w:rPr>
          <w:b/>
          <w:sz w:val="24"/>
        </w:rPr>
        <w:t>《网络安全标准化工作月报（2026年1-2月）》</w:t>
      </w:r>
    </w:p>
    <w:p>
      <w:r>
        <w:rPr>
          <w:color w:val="646464"/>
          <w:sz w:val="20"/>
        </w:rPr>
        <w:t>文　　号：暂无</w:t>
        <w:br/>
        <w:t>发文机关：全国网络安全标准化技术委员会</w:t>
        <w:br/>
        <w:t>发文日期：2026-03-11</w:t>
        <w:br/>
        <w:t>原文链接：https://www.tc260.org.cn/portal/article/1/5d7d62e585b945a39caefcb6f4898af9</w:t>
      </w:r>
    </w:p>
    <w:p>
      <w:pPr>
        <w:ind w:left="240"/>
      </w:pPr>
      <w:r>
        <w:t>网安标委发布月度工作动态，推进网络安全国家标准制修订。</w:t>
      </w:r>
    </w:p>
    <w:p>
      <w:pPr>
        <w:spacing w:before="0" w:after="80"/>
        <w:pBdr>
          <w:bottom w:val="single" w:sz="4" w:space="1" w:color="DDDDDD"/>
        </w:pBdr>
      </w:pPr>
    </w:p>
    <w:p>
      <w:r>
        <w:rPr>
          <w:b/>
          <w:sz w:val="24"/>
        </w:rPr>
        <w:t>《2025年经济发展新动能指数增长12.5%》</w:t>
      </w:r>
    </w:p>
    <w:p>
      <w:r>
        <w:rPr>
          <w:color w:val="646464"/>
          <w:sz w:val="20"/>
        </w:rPr>
        <w:t>文　　号：暂无</w:t>
        <w:br/>
        <w:t>发文机关：国家统计局</w:t>
        <w:br/>
        <w:t>发文日期：2026-08-17</w:t>
        <w:br/>
        <w:t>原文链接：https://www.stats.gov.cn/sj/</w:t>
      </w:r>
    </w:p>
    <w:p>
      <w:pPr>
        <w:ind w:left="240"/>
      </w:pPr>
      <w:r>
        <w:t>统计局发布数据，显示以数字经济为代表的新动能持续壮大。</w:t>
      </w:r>
    </w:p>
    <w:p>
      <w:pPr>
        <w:spacing w:before="0" w:after="80"/>
        <w:pBdr>
          <w:bottom w:val="single" w:sz="4" w:space="1" w:color="DDDDDD"/>
        </w:pBdr>
      </w:pPr>
    </w:p>
    <w:p>
      <w:r>
        <w:rPr>
          <w:b/>
          <w:sz w:val="24"/>
        </w:rPr>
        <w:t>《关键信息基础设施安全保护条例（答记者问）》</w:t>
      </w:r>
    </w:p>
    <w:p>
      <w:r>
        <w:rPr>
          <w:color w:val="646464"/>
          <w:sz w:val="20"/>
        </w:rPr>
        <w:t>文　　号：暂无</w:t>
        <w:br/>
        <w:t>发文机关：司法部、网信办、工信部、公安部</w:t>
        <w:br/>
        <w:t>发文日期：2026-02-03</w:t>
        <w:br/>
        <w:t>原文链接：https://www.miit.gov.cn/gyhxxhb/jgsj/wlaqglj/zcjd/index.html</w:t>
      </w:r>
    </w:p>
    <w:p>
      <w:pPr>
        <w:ind w:left="240"/>
      </w:pPr>
      <w:r>
        <w:t>四部门就关基保护条例答记者问，明确运营者责任与监管要求。</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现象：国家数据局在8月底密集发布与约旦的数字经济合作备忘录及第五批公共数据开发利用成果，延续了2026年以来数据要素市场化配置的改革主线。逻辑：通过国际双边合作与国内公共数据开放双轮驱动，旨在打通数据跨境流通的制度堵点，同时以公共数据为杠杆撬动社会数据价值释放，为数字中国建设提供要素支撑。研判：下一步数据领域政策将更侧重落地实效，预计会有更多针对公共数据授权运营、数据资产入表的具体操作细则出台，地方试点范围也将扩大。</w:t>
      </w:r>
    </w:p>
    <w:p>
      <w:r>
        <w:rPr>
          <w:b/>
          <w:color w:val="5B6DE4"/>
        </w:rPr>
        <w:t xml:space="preserve">②  </w:t>
      </w:r>
      <w:r>
        <w:t>现象：网信办等五部门联合发布的《人工智能拟人化互动服务管理暂行办法》已于7月15日正式施行，这是全球首部针对AI拟人化交互场景的专项立法。逻辑：随着情感陪伴类AI、虚拟数字人应用爆发式增长，其引发的成瘾性设计、隐私泄露、伦理失范等风险亟需纳入法治轨道。该办法通过备案制、标识义务和内容审核机制，试图在促进产业创新与防范社会风险之间寻求平衡。研判：该办法的实施将显著提高AI社交产品的合规门槛，中小创业团队面临洗牌，行业集中度有望提升，后续配套的技术标准和检测认证体系将加速完善。</w:t>
      </w:r>
    </w:p>
    <w:p>
      <w:r>
        <w:rPr>
          <w:b/>
          <w:color w:val="5B6DE4"/>
        </w:rPr>
        <w:t xml:space="preserve">③  </w:t>
      </w:r>
      <w:r>
        <w:t>现象：工信部印发《工业绿色低碳发展“十五五”规划》，将数字化赋能绿色制造作为重要方向。逻辑：在“双碳”目标约束下，工业领域数字化转型与绿色低碳转型的协同效应日益凸显，政策意图是通过工业互联网、AI能耗优化等技术手段，实现降本增效与减排的双重目标。研判：该规划将带动工业能源管理、碳足迹追踪等SaaS服务市场增长，预计长三角、珠三角制造业密集区将率先出台配套的技改补贴政策。</w:t>
      </w:r>
    </w:p>
    <w:p>
      <w:r>
        <w:rPr>
          <w:b/>
          <w:color w:val="5B6DE4"/>
        </w:rPr>
        <w:t xml:space="preserve">④  </w:t>
      </w:r>
      <w:r>
        <w:t>现象：国家网信办发布《促进网信企业高质量发展行动计划（2026-2030年）》，并配套专家解读文章。逻辑：在中美科技博弈加剧的背景下，培育具有国际竞争力的网信企业已成为国家战略重点。该计划从融资支持、市场准入、技术创新、海外拓展等维度构建政策工具箱，旨在打造一批世界一流的网信企业梯队。研判：政策资源将向核心技术攻关和平台型企业倾斜，预计会有针对网信企业的专项产业基金设立，同时数据跨境流动的便利化试点有望扩大至更多网信企业。</w:t>
      </w:r>
    </w:p>
    <w:p>
      <w:r>
        <w:rPr>
          <w:b/>
          <w:color w:val="5B6DE4"/>
        </w:rPr>
        <w:t xml:space="preserve">⑤  </w:t>
      </w:r>
      <w:r>
        <w:t>现象：网信办、公安部联合公布《小型个人信息处理者个人信息保护简化措施规定》，对中小微企业合规义务进行差异化减免。逻辑：在《个人信息保护法》全面实施后，过高的合规成本对中小微企业形成负担，政策意图是在保障个人信息权益的前提下，通过“比例原则”优化营商环境，激发市场活力。研判：该规定将催生一批面向中小企业的轻量级合规SaaS工具，同时监管部门对大型平台的执法力度预计会持续加强，形成“抓大放小”的监管格局。</w:t>
      </w:r>
    </w:p>
    <w:p>
      <w:r>
        <w:rPr>
          <w:b/>
          <w:color w:val="5B6DE4"/>
        </w:rPr>
        <w:t xml:space="preserve">⑥  </w:t>
      </w:r>
      <w:r>
        <w:t>现象：国际比较来看，中国以《人工智能拟人化互动服务管理暂行办法》对AI情感交互进行专项规制，欧盟则通过《AI法案》的风险分级框架对通用AI和情感识别系统施加严格限制，而美国目前仍以行政命令和行业自律为主，尚未形成统一立法。逻辑：中国采取“场景化立法”路径，针对具体应用风险快速响应；欧盟侧重“风险分级”的事前监管；美国则倾向于“创新优先”的宽松环境。研判：中国在AI治理的细分领域立法速度已领先欧美，但在通用AI基础模型监管上仍留有空间。随着AI技术向多模态、具身智能演进，三国在AI安全标准、跨境数据流动规则上的博弈将更趋激烈，中国企业出海需同时满足多重合规要求，合规成本显著上升。</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