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生成日期：2026-07-19　　数据 · 算力 · 信息化</w:t>
      </w:r>
    </w:p>
    <w:p/>
    <w:p>
      <w:pPr>
        <w:pStyle w:val="Heading1"/>
      </w:pPr>
      <w:r>
        <w:rPr>
          <w:color w:val="5B6DE4"/>
          <w:sz w:val="28"/>
        </w:rPr>
        <w:t>一、过去 24 小时关键政策</w:t>
      </w:r>
    </w:p>
    <w:p>
      <w:r>
        <w:rPr>
          <w:b/>
          <w:sz w:val="24"/>
        </w:rPr>
        <w:t>《人工智能拟人化互动服务管理暂行办法》</w:t>
      </w:r>
    </w:p>
    <w:p>
      <w:r>
        <w:rPr>
          <w:color w:val="646464"/>
          <w:sz w:val="20"/>
        </w:rPr>
        <w:t>文　　号：国家网信办等五部门令第21号</w:t>
        <w:br/>
        <w:t>发文机关：国家互联网信息办公室、国家发展改革委、工业和信息化部、公安部、市场监管总局</w:t>
        <w:br/>
        <w:t>发文日期：2026-07-15</w:t>
        <w:br/>
        <w:t>原文链接：https://www.gov.cn/gongbao/2026/issue_12806/202606/content_7072472.html</w:t>
      </w:r>
    </w:p>
    <w:p>
      <w:pPr>
        <w:ind w:left="240"/>
      </w:pPr>
      <w:r>
        <w:t>规范AI拟人化互动服务，明确监管要求</w:t>
      </w:r>
    </w:p>
    <w:p>
      <w:pPr>
        <w:spacing w:before="0" w:after="80"/>
        <w:pBdr>
          <w:bottom w:val="single" w:sz="4" w:space="1" w:color="DDDDDD"/>
        </w:pBdr>
      </w:pPr>
    </w:p>
    <w:p/>
    <w:p>
      <w:pPr>
        <w:pStyle w:val="Heading1"/>
      </w:pPr>
      <w:r>
        <w:rPr>
          <w:color w:val="5B6DE4"/>
          <w:sz w:val="28"/>
        </w:rPr>
        <w:t>二、过去一个月主要政策动向</w:t>
      </w:r>
    </w:p>
    <w:p>
      <w:r>
        <w:rPr>
          <w:b/>
          <w:sz w:val="24"/>
        </w:rPr>
        <w:t>《高质量数据集建设现场会在广东省广州市召开》</w:t>
      </w:r>
    </w:p>
    <w:p>
      <w:r>
        <w:rPr>
          <w:color w:val="646464"/>
          <w:sz w:val="20"/>
        </w:rPr>
        <w:t>文　　号：暂无</w:t>
        <w:br/>
        <w:t>发文机关：国家数据局</w:t>
        <w:br/>
        <w:t>发文日期：2026-07-08</w:t>
        <w:br/>
        <w:t>原文链接：https://www.ndrc.gov.cn/fzggw/wld/llh/zyhd/index.html</w:t>
      </w:r>
    </w:p>
    <w:p>
      <w:pPr>
        <w:ind w:left="240"/>
      </w:pPr>
      <w:r>
        <w:t>推动高质量数据集建设，赋能AI发展</w:t>
      </w:r>
    </w:p>
    <w:p>
      <w:pPr>
        <w:spacing w:before="0" w:after="80"/>
        <w:pBdr>
          <w:bottom w:val="single" w:sz="4" w:space="1" w:color="DDDDDD"/>
        </w:pBdr>
      </w:pPr>
    </w:p>
    <w:p>
      <w:r>
        <w:rPr>
          <w:b/>
          <w:sz w:val="24"/>
        </w:rPr>
        <w:t>《浙江省发展改革委关于省政协十三届三次会议第678号提案的答复》</w:t>
      </w:r>
    </w:p>
    <w:p>
      <w:r>
        <w:rPr>
          <w:color w:val="646464"/>
          <w:sz w:val="20"/>
        </w:rPr>
        <w:t>文　　号：暂无</w:t>
        <w:br/>
        <w:t>发文机关：浙江省发展和改革委员会</w:t>
        <w:br/>
        <w:t>发文日期：2026-06-25</w:t>
      </w:r>
    </w:p>
    <w:p>
      <w:pPr>
        <w:ind w:left="240"/>
      </w:pPr>
      <w:r>
        <w:t>支持之江人工智能公共算力平台建设</w:t>
      </w:r>
    </w:p>
    <w:p>
      <w:pPr>
        <w:spacing w:before="0" w:after="80"/>
        <w:pBdr>
          <w:bottom w:val="single" w:sz="4" w:space="1" w:color="DDDDDD"/>
        </w:pBdr>
      </w:pPr>
    </w:p>
    <w:p>
      <w:r>
        <w:rPr>
          <w:b/>
          <w:sz w:val="24"/>
        </w:rPr>
        <w:t>《全国信息化和工业化融合管理标准化技术委员会简报》</w:t>
      </w:r>
    </w:p>
    <w:p>
      <w:r>
        <w:rPr>
          <w:color w:val="646464"/>
          <w:sz w:val="20"/>
        </w:rPr>
        <w:t>文　　号：暂无</w:t>
        <w:br/>
        <w:t>发文机关：国家工业信息安全发展研究中心</w:t>
        <w:br/>
        <w:t>发文日期：2026-06-26</w:t>
      </w:r>
    </w:p>
    <w:p>
      <w:pPr>
        <w:ind w:left="240"/>
      </w:pPr>
      <w:r>
        <w:t>工信部召开高质量行业数据集建设工作座谈会</w:t>
      </w:r>
    </w:p>
    <w:p>
      <w:pPr>
        <w:spacing w:before="0" w:after="80"/>
        <w:pBdr>
          <w:bottom w:val="single" w:sz="4" w:space="1" w:color="DDDDDD"/>
        </w:pBdr>
      </w:pPr>
    </w:p>
    <w:p>
      <w:r>
        <w:rPr>
          <w:b/>
          <w:sz w:val="24"/>
        </w:rPr>
        <w:t>《工业和信息化部 中央网信办 国家发展改革委 国家数据局关于推动互联网基础资源高质量发展的指导意见》</w:t>
      </w:r>
    </w:p>
    <w:p>
      <w:r>
        <w:rPr>
          <w:color w:val="646464"/>
          <w:sz w:val="20"/>
        </w:rPr>
        <w:t>文　　号：工信部联信管〔2026〕159号</w:t>
        <w:br/>
        <w:t>发文机关：工业和信息化部、中央网信办、国家发展改革委、国家数据局</w:t>
        <w:br/>
        <w:t>发文日期：2026-07-01</w:t>
        <w:br/>
        <w:t>原文链接：https://www.miit.gov.cn/zwgk/zcwj/</w:t>
      </w:r>
    </w:p>
    <w:p>
      <w:pPr>
        <w:ind w:left="240"/>
      </w:pPr>
      <w:r>
        <w:t>四部门联合发文，推动互联网基础资源高质量发展</w:t>
      </w:r>
    </w:p>
    <w:p>
      <w:pPr>
        <w:spacing w:before="0" w:after="80"/>
        <w:pBdr>
          <w:bottom w:val="single" w:sz="4" w:space="1" w:color="DDDDDD"/>
        </w:pBdr>
      </w:pPr>
    </w:p>
    <w:p>
      <w:r>
        <w:rPr>
          <w:b/>
          <w:sz w:val="24"/>
        </w:rPr>
        <w:t>《工业和信息化部等八部门印发关于推动工业互联网高质量发展的实施意见》</w:t>
      </w:r>
    </w:p>
    <w:p>
      <w:r>
        <w:rPr>
          <w:color w:val="646464"/>
          <w:sz w:val="20"/>
        </w:rPr>
        <w:t>文　　号：工信部联信管〔2026〕152号</w:t>
        <w:br/>
        <w:t>发文机关：工业和信息化部等八部门</w:t>
        <w:br/>
        <w:t>发文日期：2026-06-30</w:t>
        <w:br/>
        <w:t>原文链接：https://www.miit.gov.cn/zwgk/zcwj/</w:t>
      </w:r>
    </w:p>
    <w:p>
      <w:pPr>
        <w:ind w:left="240"/>
      </w:pPr>
      <w:r>
        <w:t>八部门联合推动工业互联网高质量发展</w:t>
      </w:r>
    </w:p>
    <w:p>
      <w:pPr>
        <w:spacing w:before="0" w:after="80"/>
        <w:pBdr>
          <w:bottom w:val="single" w:sz="4" w:space="1" w:color="DDDDDD"/>
        </w:pBdr>
      </w:pPr>
    </w:p>
    <w:p>
      <w:r>
        <w:rPr>
          <w:b/>
          <w:sz w:val="24"/>
        </w:rPr>
        <w:t>《工业和信息化部关于2025年第四季度电信服务质量的通告》</w:t>
      </w:r>
    </w:p>
    <w:p>
      <w:r>
        <w:rPr>
          <w:color w:val="646464"/>
          <w:sz w:val="20"/>
        </w:rPr>
        <w:t>文　　号：暂无</w:t>
        <w:br/>
        <w:t>发文机关：工业和信息化部</w:t>
        <w:br/>
        <w:t>发文日期：2026-01-29</w:t>
        <w:br/>
        <w:t>原文链接：https://wap.miit.gov.cn/jgsj/xgj/wjfb/index.html</w:t>
      </w:r>
    </w:p>
    <w:p>
      <w:pPr>
        <w:ind w:left="240"/>
      </w:pPr>
      <w:r>
        <w:t>通报电信服务质量情况</w:t>
      </w:r>
    </w:p>
    <w:p>
      <w:pPr>
        <w:spacing w:before="0" w:after="80"/>
        <w:pBdr>
          <w:bottom w:val="single" w:sz="4" w:space="1" w:color="DDDDDD"/>
        </w:pBdr>
      </w:pPr>
    </w:p>
    <w:p>
      <w:r>
        <w:rPr>
          <w:b/>
          <w:sz w:val="24"/>
        </w:rPr>
        <w:t>《工业和信息化部办公厅关于公布增值电信业务赋能新型工业化典型案例的通知》</w:t>
      </w:r>
    </w:p>
    <w:p>
      <w:r>
        <w:rPr>
          <w:color w:val="646464"/>
          <w:sz w:val="20"/>
        </w:rPr>
        <w:t>文　　号：暂无</w:t>
        <w:br/>
        <w:t>发文机关：工业和信息化部办公厅</w:t>
        <w:br/>
        <w:t>发文日期：2026-01-26</w:t>
        <w:br/>
        <w:t>原文链接：https://wap.miit.gov.cn/jgsj/xgj/wjfb/index.html</w:t>
      </w:r>
    </w:p>
    <w:p>
      <w:pPr>
        <w:ind w:left="240"/>
      </w:pPr>
      <w:r>
        <w:t>公布增值电信业务赋能新型工业化典型案例</w:t>
      </w:r>
    </w:p>
    <w:p>
      <w:pPr>
        <w:spacing w:before="0" w:after="80"/>
        <w:pBdr>
          <w:bottom w:val="single" w:sz="4" w:space="1" w:color="DDDDDD"/>
        </w:pBdr>
      </w:pPr>
    </w:p>
    <w:p>
      <w:r>
        <w:rPr>
          <w:b/>
          <w:sz w:val="24"/>
        </w:rPr>
        <w:t>《工业和信息化部办公厅关于印发工业互联网和人工智能融合赋能行动方案的通知》</w:t>
      </w:r>
    </w:p>
    <w:p>
      <w:r>
        <w:rPr>
          <w:color w:val="646464"/>
          <w:sz w:val="20"/>
        </w:rPr>
        <w:t>文　　号：暂无</w:t>
        <w:br/>
        <w:t>发文机关：工业和信息化部办公厅</w:t>
        <w:br/>
        <w:t>发文日期：2026-01-06</w:t>
        <w:br/>
        <w:t>原文链接：https://wap.miit.gov.cn/jgsj/xgj/wjfb/index.html</w:t>
      </w:r>
    </w:p>
    <w:p>
      <w:pPr>
        <w:ind w:left="240"/>
      </w:pPr>
      <w:r>
        <w:t>推动工业互联网与人工智能融合赋能</w:t>
      </w:r>
    </w:p>
    <w:p>
      <w:pPr>
        <w:spacing w:before="0" w:after="80"/>
        <w:pBdr>
          <w:bottom w:val="single" w:sz="4" w:space="1" w:color="DDDDDD"/>
        </w:pBdr>
      </w:pPr>
    </w:p>
    <w:p/>
    <w:p>
      <w:pPr>
        <w:pStyle w:val="Heading1"/>
      </w:pPr>
      <w:r>
        <w:rPr>
          <w:color w:val="5B6DE4"/>
          <w:sz w:val="28"/>
        </w:rPr>
        <w:t>三、今年以来主要政策</w:t>
      </w:r>
    </w:p>
    <w:p/>
    <w:p>
      <w:pPr>
        <w:pStyle w:val="Heading1"/>
      </w:pPr>
      <w:r>
        <w:rPr>
          <w:color w:val="5B6DE4"/>
          <w:sz w:val="28"/>
        </w:rPr>
        <w:t>四、未来趋势判断</w:t>
      </w:r>
    </w:p>
    <w:p>
      <w:r>
        <w:rPr>
          <w:b/>
          <w:color w:val="5B6DE4"/>
        </w:rPr>
        <w:t xml:space="preserve">①  </w:t>
      </w:r>
      <w:r>
        <w:t>趋势1（制度建设加速）：2026年7月15日，《人工智能拟人化互动服务管理暂行办法》正式施行，标志着中国对生成式AI的监管从原则性规定走向具体场景落地。该办法针对AI聊天、虚拟伴侣等拟人化服务，要求服务提供者履行标识义务、内容审核和用户保护责任。其逻辑在于，拟人化互动易引发用户情感依赖和隐私风险，需提前设防。预计下一步将出台更多针对特定AI应用场景的细化规则，如教育、医疗等领域的AI服务规范。</w:t>
      </w:r>
    </w:p>
    <w:p>
      <w:r>
        <w:rPr>
          <w:b/>
          <w:color w:val="5B6DE4"/>
        </w:rPr>
        <w:t xml:space="preserve">②  </w:t>
      </w:r>
      <w:r>
        <w:t>趋势2（算力布局区域化）：天津市、青岛市、黑龙江省等地相继发布2024-2026年算力产业发展方案，均强调通用算力、智能算力、超算算力一体化布局。这表明国家“东数西算”战略正从顶层设计向地方执行下沉，各地根据自身产业基础差异化定位。逻辑在于，算力已成为数字经济的核心生产力，地方需抢占先机。研判：未来两年，算力资源将出现区域集聚与协同并存的格局，西部枢纽城市（如贵阳）将承接更多东部算力需求。</w:t>
      </w:r>
    </w:p>
    <w:p>
      <w:r>
        <w:rPr>
          <w:b/>
          <w:color w:val="5B6DE4"/>
        </w:rPr>
        <w:t xml:space="preserve">③  </w:t>
      </w:r>
      <w:r>
        <w:t>趋势3（数据要素市场化提速）：国家数据局2026年7月在广州召开高质量数据集建设现场会，并举办“数据大讲堂”聚焦数据产业发展。这延续了2025年以来数据要素市场化配置改革的节奏。逻辑在于，高质量数据集是AI大模型训练的“燃料”，但当前数据孤岛、标注成本高、权属不清等问题突出。研判：国家数据局将推动建立行业级高质量数据集标准，并探索数据资产入表、数据交易等机制，2026年下半年或有更多地方数据交易所落地。</w:t>
      </w:r>
    </w:p>
    <w:p>
      <w:r>
        <w:rPr>
          <w:b/>
          <w:color w:val="5B6DE4"/>
        </w:rPr>
        <w:t xml:space="preserve">④  </w:t>
      </w:r>
      <w:r>
        <w:t>趋势4（工业互联网与AI深度融合）：工信部2026年初印发《工业互联网和人工智能融合赋能行动方案》，八部门联合发文推动工业互联网高质量发展。这标志着工业互联网从“连接”阶段进入“智能”阶段。逻辑在于，工业场景对AI的需求（如预测性维护、质检、排产）日益迫切，但工业数据碎片化、模型泛化能力不足是瓶颈。研判：未来将出现一批工业大模型，并催生“工业AI平台”新业态，但数据安全与模型可靠性仍是挑战。</w:t>
      </w:r>
    </w:p>
    <w:p>
      <w:r>
        <w:rPr>
          <w:b/>
          <w:color w:val="5B6DE4"/>
        </w:rPr>
        <w:t xml:space="preserve">⑤  </w:t>
      </w:r>
      <w:r>
        <w:t>趋势5（数据安全合规进入精细化阶段）：GA/T 2380—2026《网络安全等级保护数据安全基本要求》于2026年6月1日正式实施，这是首个针对等级保护的数据安全专项标准。同时，《促进和规范数据跨境流动规定》实施两周年，网信办举办外资企业座谈会。逻辑在于，数据安全监管正从“建章立制”转向“落地执行”，企业合规成本上升。研判：数据安全产品和服务市场将迎来爆发，尤其是数据分类分级、数据脱敏、跨境传输监控等细分领域。</w:t>
      </w:r>
    </w:p>
    <w:p>
      <w:r>
        <w:rPr>
          <w:b/>
          <w:color w:val="5B6DE4"/>
        </w:rPr>
        <w:t xml:space="preserve">⑥  </w:t>
      </w:r>
      <w:r>
        <w:t>趋势6（国际比较：中国AI监管路径与欧美异同）：中国2026年7月施行的《人工智能拟人化互动服务管理暂行办法》与欧盟《AI法案》均采用基于风险的分级管理思路，但中国更侧重具体应用场景的快速响应，而欧盟更强调系统性法律框架。美国则通过行政令推动自愿性安全承诺。中国做法逻辑在于，监管需与产业创新速度赛跑，避免“一刀切”阻碍发展。研判：中国将继续走“场景化监管+标准先行”路径，与欧盟的“法律先行”和美国的“行业自律”形成三种模式，未来国际AI治理可能走向互认或冲突，企业需关注多法域合规。</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