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生成日期：2026-08-25　　数据 · 算力 · 信息化</w:t>
      </w:r>
    </w:p>
    <w:p/>
    <w:p>
      <w:pPr>
        <w:pStyle w:val="Heading1"/>
      </w:pPr>
      <w:r>
        <w:rPr>
          <w:color w:val="5B6DE4"/>
          <w:sz w:val="28"/>
        </w:rPr>
        <w:t>一、过去 24 小时关键政策</w:t>
      </w:r>
    </w:p>
    <w:p>
      <w:r>
        <w:rPr>
          <w:b/>
          <w:sz w:val="24"/>
        </w:rPr>
        <w:t>《个人信息保护政策法规问答（2026年8月）》</w:t>
      </w:r>
    </w:p>
    <w:p>
      <w:r>
        <w:rPr>
          <w:color w:val="646464"/>
          <w:sz w:val="20"/>
        </w:rPr>
        <w:t>文　　号：暂无</w:t>
        <w:br/>
        <w:t>发文机关：中央网络安全和信息化委员会办公室</w:t>
        <w:br/>
        <w:t>发文日期：2026-08-12</w:t>
        <w:br/>
        <w:t>原文链接：https://www.cac.gov.cn/wxzw/sjzl/A093708index_1.htm</w:t>
      </w:r>
    </w:p>
    <w:p>
      <w:pPr>
        <w:ind w:left="240"/>
      </w:pPr>
      <w:r>
        <w:t>发布最新个人信息保护政策法规问答，明确监管执行口径与合规要点。</w:t>
      </w:r>
    </w:p>
    <w:p>
      <w:pPr>
        <w:spacing w:before="0" w:after="80"/>
        <w:pBdr>
          <w:bottom w:val="single" w:sz="4" w:space="1" w:color="DDDDDD"/>
        </w:pBdr>
      </w:pPr>
    </w:p>
    <w:p/>
    <w:p>
      <w:pPr>
        <w:pStyle w:val="Heading1"/>
      </w:pPr>
      <w:r>
        <w:rPr>
          <w:color w:val="5B6DE4"/>
          <w:sz w:val="28"/>
        </w:rPr>
        <w:t>二、过去一个月主要政策动向</w:t>
      </w:r>
    </w:p>
    <w:p>
      <w:r>
        <w:rPr>
          <w:b/>
          <w:sz w:val="24"/>
        </w:rPr>
        <w:t>《生成式人工智能服务已备案信息公告（2026年5月至6月）》</w:t>
      </w:r>
    </w:p>
    <w:p>
      <w:r>
        <w:rPr>
          <w:color w:val="646464"/>
          <w:sz w:val="20"/>
        </w:rPr>
        <w:t>文　　号：暂无</w:t>
        <w:br/>
        <w:t>发文机关：国家互联网信息办公室</w:t>
        <w:br/>
        <w:t>发文日期：2026-07-10</w:t>
        <w:br/>
        <w:t>原文链接：https://www.cac.gov.cn/wxzw/wxfb/A093702index_1.htm</w:t>
      </w:r>
    </w:p>
    <w:p>
      <w:pPr>
        <w:ind w:left="240"/>
      </w:pPr>
      <w:r>
        <w:t>公布新一批生成式AI服务备案信息，持续完善大模型合规监管体系。</w:t>
      </w:r>
    </w:p>
    <w:p>
      <w:pPr>
        <w:spacing w:before="0" w:after="80"/>
        <w:pBdr>
          <w:bottom w:val="single" w:sz="4" w:space="1" w:color="DDDDDD"/>
        </w:pBdr>
      </w:pPr>
    </w:p>
    <w:p>
      <w:r>
        <w:rPr>
          <w:b/>
          <w:sz w:val="24"/>
        </w:rPr>
        <w:t>《国新办举行新闻发布会介绍2026年上半年工业和信息化发展情况》</w:t>
      </w:r>
    </w:p>
    <w:p>
      <w:r>
        <w:rPr>
          <w:color w:val="646464"/>
          <w:sz w:val="20"/>
        </w:rPr>
        <w:t>文　　号：暂无</w:t>
        <w:br/>
        <w:t>发文机关：工业和信息化部</w:t>
        <w:br/>
        <w:t>发文日期：2026-07-20</w:t>
      </w:r>
    </w:p>
    <w:p>
      <w:pPr>
        <w:ind w:left="240"/>
      </w:pPr>
      <w:r>
        <w:t>介绍2026年上半年工业和信息化发展情况，回应数字经济热点问题。</w:t>
      </w:r>
    </w:p>
    <w:p>
      <w:pPr>
        <w:spacing w:before="0" w:after="80"/>
        <w:pBdr>
          <w:bottom w:val="single" w:sz="4" w:space="1" w:color="DDDDDD"/>
        </w:pBdr>
      </w:pPr>
    </w:p>
    <w:p>
      <w:r>
        <w:rPr>
          <w:b/>
          <w:sz w:val="24"/>
        </w:rPr>
        <w:t>《大型个人信息处理者个人信息保护规定（征求意见稿）》</w:t>
      </w:r>
    </w:p>
    <w:p>
      <w:r>
        <w:rPr>
          <w:color w:val="646464"/>
          <w:sz w:val="20"/>
        </w:rPr>
        <w:t>文　　号：暂无</w:t>
        <w:br/>
        <w:t>发文机关：国家互联网信息办公室</w:t>
        <w:br/>
        <w:t>发文日期：2026-08-07</w:t>
        <w:br/>
        <w:t>原文链接：https://www.cac.gov.cn/wxzw/sjzl/A093708index_1.htm</w:t>
      </w:r>
    </w:p>
    <w:p>
      <w:pPr>
        <w:ind w:left="240"/>
      </w:pPr>
      <w:r>
        <w:t>针对大型平台企业提出更严格的个人信息保护义务，公开征求意见。</w:t>
      </w:r>
    </w:p>
    <w:p>
      <w:pPr>
        <w:spacing w:before="0" w:after="80"/>
        <w:pBdr>
          <w:bottom w:val="single" w:sz="4" w:space="1" w:color="DDDDDD"/>
        </w:pBdr>
      </w:pPr>
    </w:p>
    <w:p>
      <w:r>
        <w:rPr>
          <w:b/>
          <w:sz w:val="24"/>
        </w:rPr>
        <w:t>《网络数据安全风险评估办法》</w:t>
      </w:r>
    </w:p>
    <w:p>
      <w:r>
        <w:rPr>
          <w:color w:val="646464"/>
          <w:sz w:val="20"/>
        </w:rPr>
        <w:t>文　　号：暂无</w:t>
        <w:br/>
        <w:t>发文机关：国家网信办、工业和信息化部、公安部</w:t>
        <w:br/>
        <w:t>发文日期：2026-06-22</w:t>
        <w:br/>
        <w:t>原文链接：http://jx.people.com.cn/BIG5/n2/2026/0622/c186330-41616984.html</w:t>
      </w:r>
    </w:p>
    <w:p>
      <w:pPr>
        <w:ind w:left="240"/>
      </w:pPr>
      <w:r>
        <w:t>三部门联合公布，自2026年8月20日起施行，规范网络数据安全风险评估。</w:t>
      </w:r>
    </w:p>
    <w:p>
      <w:pPr>
        <w:spacing w:before="0" w:after="80"/>
        <w:pBdr>
          <w:bottom w:val="single" w:sz="4" w:space="1" w:color="DDDDDD"/>
        </w:pBdr>
      </w:pPr>
    </w:p>
    <w:p/>
    <w:p>
      <w:pPr>
        <w:pStyle w:val="Heading1"/>
      </w:pPr>
      <w:r>
        <w:rPr>
          <w:color w:val="5B6DE4"/>
          <w:sz w:val="28"/>
        </w:rPr>
        <w:t>三、今年以来主要政策</w:t>
      </w:r>
    </w:p>
    <w:p>
      <w:r>
        <w:rPr>
          <w:b/>
          <w:sz w:val="24"/>
        </w:rPr>
        <w:t>《汽车数据出境安全指引（2026版）》</w:t>
      </w:r>
    </w:p>
    <w:p>
      <w:r>
        <w:rPr>
          <w:color w:val="646464"/>
          <w:sz w:val="20"/>
        </w:rPr>
        <w:t>文　　号：工信部联网安﹝2026﹞27号</w:t>
        <w:br/>
        <w:t>发文机关：工业和信息化部等八部门</w:t>
        <w:br/>
        <w:t>发文日期：2026-02-03</w:t>
        <w:br/>
        <w:t>原文链接：https://gyxxh.tj.gov.cn/ZWGK4147/ZCWJ6355/gjjwj/202602/t20260203_7238779.html</w:t>
      </w:r>
    </w:p>
    <w:p>
      <w:pPr>
        <w:ind w:left="240"/>
      </w:pPr>
      <w:r>
        <w:t>规范汽车数据出境安全评估，明确数据分类分级与合规要求。</w:t>
      </w:r>
    </w:p>
    <w:p>
      <w:pPr>
        <w:spacing w:before="0" w:after="80"/>
        <w:pBdr>
          <w:bottom w:val="single" w:sz="4" w:space="1" w:color="DDDDDD"/>
        </w:pBdr>
      </w:pPr>
    </w:p>
    <w:p>
      <w:r>
        <w:rPr>
          <w:b/>
          <w:sz w:val="24"/>
        </w:rPr>
        <w:t>《实施网络安全标识的产品目录（第一批）及相关实施规则》</w:t>
      </w:r>
    </w:p>
    <w:p>
      <w:r>
        <w:rPr>
          <w:color w:val="646464"/>
          <w:sz w:val="20"/>
        </w:rPr>
        <w:t>文　　号：暂无</w:t>
        <w:br/>
        <w:t>发文机关：国家互联网信息办公室</w:t>
        <w:br/>
        <w:t>发文日期：2026-06-18</w:t>
        <w:br/>
        <w:t>原文链接：https://www.cac.gov.cn/wxzw/wxfb/A093702index_1.htm</w:t>
      </w:r>
    </w:p>
    <w:p>
      <w:pPr>
        <w:ind w:left="240"/>
      </w:pPr>
      <w:r>
        <w:t>发布网络安全标识产品目录，推动网络产品安全标识制度落地。</w:t>
      </w:r>
    </w:p>
    <w:p>
      <w:pPr>
        <w:spacing w:before="0" w:after="80"/>
        <w:pBdr>
          <w:bottom w:val="single" w:sz="4" w:space="1" w:color="DDDDDD"/>
        </w:pBdr>
      </w:pPr>
    </w:p>
    <w:p>
      <w:r>
        <w:rPr>
          <w:b/>
          <w:sz w:val="24"/>
        </w:rPr>
        <w:t>《ChatGPT 接入 GenAI.mil 平台》</w:t>
      </w:r>
    </w:p>
    <w:p>
      <w:r>
        <w:rPr>
          <w:color w:val="646464"/>
          <w:sz w:val="20"/>
        </w:rPr>
        <w:t>文　　号：暂无</w:t>
        <w:br/>
        <w:t>发文机关：OpenAI / 美国国防部</w:t>
        <w:br/>
        <w:t>发文日期：2026-02-02</w:t>
        <w:br/>
        <w:t>原文链接：https://openai.com/index/bringing-chatgpt-to-genaimil/</w:t>
      </w:r>
    </w:p>
    <w:p>
      <w:pPr>
        <w:ind w:left="240"/>
      </w:pPr>
      <w:r>
        <w:t>OpenAI与国防部合作，将ChatGPT引入GenAI.mil供数百万军人使用。</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中国数据安全立法进入精细化落地阶段。2026年8月20日《网络数据安全风险评估办法》正式施行，与《数据安全法》《网络数据安全管理条例》形成配套，标志着数据安全治理从框架搭建转向具体操作细则。该办法明确风险评估的触发条件、评估流程和监管职责，为各行业开展数据安全自查提供了法定依据。下一步，预计各重点行业（金融、医疗、汽车）将陆续出台行业版评估指南，企业合规成本将显著上升，数据安全服务市场有望迎来爆发式增长。</w:t>
      </w:r>
    </w:p>
    <w:p>
      <w:r>
        <w:rPr>
          <w:b/>
          <w:color w:val="5B6DE4"/>
        </w:rPr>
        <w:t xml:space="preserve">②  </w:t>
      </w:r>
      <w:r>
        <w:t>趋势2（技术路线）：生成式AI监管从备案制向全生命周期管理演进。网信办2026年7月发布新一批生成式AI服务备案信息，显示备案工作已常态化。值得关注的是，备案信息公告频率加快，且与《大型个人信息处理者个人信息保护规定（征求意见稿）》形成联动，表明监管重点正从模型上线前的安全评估，延伸至运行阶段的数据处理和个人信息保护。研判：下一步将出台针对大模型训练数据的专项规定，特别是合成数据、爬虫数据的合规边界将更加清晰。</w:t>
      </w:r>
    </w:p>
    <w:p>
      <w:r>
        <w:rPr>
          <w:b/>
          <w:color w:val="5B6DE4"/>
        </w:rPr>
        <w:t xml:space="preserve">③  </w:t>
      </w:r>
      <w:r>
        <w:t>趋势3（区域格局）：汽车数据出境管理成为地方落实数据跨境制度的先行试点。工信部等八部门2026年2月印发《汽车数据出境安全指引（2026版）》，天津等地已转发落实。汽车行业因涉及地理信息、个人信息和车辆运行数据，成为数据出境监管的突破口。该指引细化了数据分类分级、出境评估流程和本地化存储要求，为其他行业提供了可复制的模板。预计长三角、珠三角等汽车产业聚集区将率先出台配套实施细则，推动形成区域数据跨境流动的差异化试点。</w:t>
      </w:r>
    </w:p>
    <w:p>
      <w:r>
        <w:rPr>
          <w:b/>
          <w:color w:val="5B6DE4"/>
        </w:rPr>
        <w:t xml:space="preserve">④  </w:t>
      </w:r>
      <w:r>
        <w:t>趋势4（产业影响）：网络产品安全标识制度落地将重塑安全产品市场格局。网信办2026年6月发布《实施网络安全标识的产品目录（第一批）》，标志着网络安全产品标识制度从政策倡导进入实质执行阶段。该制度通过对安全产品进行统一标识和分级管理，将有效解决市场‘劣币驱逐良币’问题，倒逼安全厂商提升产品质量。研判：未来两年内，未获得标识的安全产品将在政府采购和关键行业招标中失去准入资格，行业集中度将显著提升，头部安全厂商将受益。</w:t>
      </w:r>
    </w:p>
    <w:p>
      <w:r>
        <w:rPr>
          <w:b/>
          <w:color w:val="5B6DE4"/>
        </w:rPr>
        <w:t xml:space="preserve">⑤  </w:t>
      </w:r>
      <w:r>
        <w:t>趋势5（安全合规）：大型平台个人信息保护义务持续加码，合规压力向生态链传导。《大型个人信息处理者个人信息保护规定（征求意见稿）》首次在法律层面明确‘大型个人信息处理者’的认定标准，并对其提出设立独立监管机构、开展定期审计、算法影响评估等更高要求。该规定一旦正式施行，将直接影响头部互联网平台，并通过平台规则传导至平台内中小商家和开发者，形成全链条合规压力。预计征求意见期间将收到大量来自平台企业的反馈，正式稿可能在认定门槛和审计频次上做出微调。</w:t>
      </w:r>
    </w:p>
    <w:p>
      <w:r>
        <w:rPr>
          <w:b/>
          <w:color w:val="5B6DE4"/>
        </w:rPr>
        <w:t xml:space="preserve">⑥  </w:t>
      </w:r>
      <w:r>
        <w:t>趋势6（国际比较）：中美AI军事应用竞赛加速，治理路径分野明显。美国国防部2025年12月推出GenAI.mil平台，2026年2月接入ChatGPT，并宣称5/6军种已将其列为首选AI工具，体现出‘技术先行、快速部署’的激进路线。相比之下，中国对生成式AI采取‘备案制+分类分级’的审慎监管，更强调安全可控。两者差异折射出不同的治理哲学：美国以提升作战效能为首要目标，中国以防范安全风险为底线。值得警惕的是，GenAI.mil的大规模应用可能引发AI武器化担忧，国际社会亟需建立军事AI使用的行为准则。</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