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生成日期：2026-06-13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《工业和信息化部关于印发《“人工智能+信息通信”创新发展实施意见（2026—2028年）》的通知》</w:t>
      </w:r>
    </w:p>
    <w:p>
      <w:r>
        <w:rPr>
          <w:color w:val="646464"/>
          <w:sz w:val="20"/>
        </w:rPr>
        <w:t>文　　号：工信部通信〔2026〕121号</w:t>
        <w:br/>
        <w:t>发文机关：工业和信息化部</w:t>
        <w:br/>
        <w:t>发文日期：2026-06-03</w:t>
        <w:br/>
        <w:t>原文链接：https://www.miit.gov.cn/search/zcwjk.html?websiteid=110000000000000&amp;tpl=14&amp;category=183</w:t>
      </w:r>
    </w:p>
    <w:p>
      <w:pPr>
        <w:ind w:left="240"/>
      </w:pPr>
      <w:r>
        <w:t>推动AI与信息通信融合创新，明确2026-2028年发展目标与重点任务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《广东省工业和信息化厅关于开展2026年支持推动人工智能赋能新型工业化标杆项目入库储备工作的通知》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聚焦AI赋能新型工业化，组织标杆项目入库储备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部署信息技术标准化工作，支撑数字经济发展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调研数据要素市场化配置改革，推动制度落地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《2026年中国网络文明大会在南宁举行》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发文日期：2026-05-20</w:t>
        <w:br/>
        <w:t>原文链接：https://www.zjwx.gov.cn/col/col1673580/</w:t>
      </w:r>
    </w:p>
    <w:p>
      <w:pPr>
        <w:ind w:left="240"/>
      </w:pPr>
      <w:r>
        <w:t>聚焦网络文明建设，推动数字素养与技能提升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《欧盟发布《人工智能法案》最新实施指南》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发文日期：2026-05-15</w:t>
      </w:r>
    </w:p>
    <w:p>
      <w:pPr>
        <w:ind w:left="240"/>
      </w:pPr>
      <w:r>
        <w:t>细化高风险AI系统合规要求，明确监管执行时间表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《国家数据局印发2026年数字经济发展工作要点》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  <w:br/>
        <w:t>原文链接：http://dsjfzj.gxzf.gov.cn/dtyw/t27693058.shtml</w:t>
      </w:r>
    </w:p>
    <w:p>
      <w:pPr>
        <w:ind w:left="240"/>
      </w:pPr>
      <w:r>
        <w:t>部署8方面重点任务，加快数据要素市场化配置改革与数字基建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《国家网信办、国家发展改革委、工业和信息化部联合印发《智能体规范应用与创新发展实施意见》》</w:t>
      </w:r>
    </w:p>
    <w:p>
      <w:r>
        <w:rPr>
          <w:color w:val="646464"/>
          <w:sz w:val="20"/>
        </w:rPr>
        <w:t>文　　号：暂无</w:t>
        <w:br/>
        <w:t>发文机关：国家互联网信息办公室、国家发展改革委、工业和信息化部</w:t>
        <w:br/>
        <w:t>发文日期：2026-05-12</w:t>
        <w:br/>
        <w:t>原文链接：https://www.cac.gov.cn/wxzw/wxfb/A093702index_1.htm</w:t>
      </w:r>
    </w:p>
    <w:p>
      <w:pPr>
        <w:ind w:left="240"/>
      </w:pPr>
      <w:r>
        <w:t>规范智能体应用，促进AI智能体产业健康有序发展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《关于发布生成式人工智能服务已备案信息的公告（2026年3月至4月）》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发文日期：2026-05-22</w:t>
        <w:br/>
        <w:t>原文链接：https://www.cac.gov.cn/wxzw/wxfb/A093702index_1.htm</w:t>
      </w:r>
    </w:p>
    <w:p>
      <w:pPr>
        <w:ind w:left="240"/>
      </w:pPr>
      <w:r>
        <w:t>公布最新一批生成式AI服务备案信息，强化常态化监管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《2026年“数据要素×”大赛通知发布》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发文日期：2026-04-30</w:t>
      </w:r>
    </w:p>
    <w:p>
      <w:pPr>
        <w:ind w:left="240"/>
      </w:pPr>
      <w:r>
        <w:t>启动2026年数据要素×大赛，发挥数据要素乘数效应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《日本数字厅发布《AI治理框架2026》》</w:t>
      </w:r>
    </w:p>
    <w:p>
      <w:r>
        <w:rPr>
          <w:color w:val="646464"/>
          <w:sz w:val="20"/>
        </w:rPr>
        <w:t>文　　号：暂无</w:t>
        <w:br/>
        <w:t>发文机关：日本数字厅</w:t>
        <w:br/>
        <w:t>发文日期：2026-03-15</w:t>
      </w:r>
    </w:p>
    <w:p>
      <w:pPr>
        <w:ind w:left="240"/>
      </w:pPr>
      <w:r>
        <w:t>建立AI风险分级管理制度，推动可信AI国际标准协调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《美国白宫发布《人工智能权利法案》实施进展报告》</w:t>
      </w:r>
    </w:p>
    <w:p>
      <w:r>
        <w:rPr>
          <w:color w:val="646464"/>
          <w:sz w:val="20"/>
        </w:rPr>
        <w:t>文　　号：暂无</w:t>
        <w:br/>
        <w:t>发文机关：美国白宫</w:t>
        <w:br/>
        <w:t>发文日期：2026-04-10</w:t>
      </w:r>
    </w:p>
    <w:p>
      <w:pPr>
        <w:ind w:left="240"/>
      </w:pPr>
      <w:r>
        <w:t>评估联邦机构落实AI权利法案情况，强化算法问责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现象+逻辑+研判）：现象：2026年5-6月，工信部密集发布《“人工智能+信息通信”创新发展实施意见》和《智能体规范应用与创新发展实施意见》，国家数据局同步印发《2026年数字经济发展工作要点》。逻辑：政策组合拳表明中国正从“AI技术突破”转向“AI与实体经济深度融合”阶段，通过标准化、备案制、项目制等手段降低应用门槛。研判：下半年将出现更多行业级AI应用标杆，但智能体监管细则可能引发合规成本上升，中小企业需提前布局。</w:t>
      </w:r>
    </w:p>
    <w:p>
      <w:r>
        <w:rPr>
          <w:b/>
          <w:color w:val="5B6DE4"/>
        </w:rPr>
        <w:t xml:space="preserve">②  </w:t>
      </w:r>
      <w:r>
        <w:t>趋势2（现象+逻辑+研判）：现象：国家数据局启动2026年“数据要素×”大赛，并赴深圳、温州等地调研数据要素市场化配置改革。逻辑：数据要素从“确权”进入“流通变现”深水区，大赛旨在激发场景创新，调研则为制度设计收集地方经验。研判：2026年下半年有望出台全国统一数据产权登记制度指引，公共数据授权运营价格形成机制将率先在试点城市落地。</w:t>
      </w:r>
    </w:p>
    <w:p>
      <w:r>
        <w:rPr>
          <w:b/>
          <w:color w:val="5B6DE4"/>
        </w:rPr>
        <w:t xml:space="preserve">③  </w:t>
      </w:r>
      <w:r>
        <w:t>趋势3（现象+逻辑+研判）：现象：天津、青岛、威海、广西等多地发布2024-2026年算力/人工智能/数字化转型规划，均设定2026年关键目标。逻辑：地方规划与国家“东数西算”战略形成上下联动，算力布局从“建中心”转向“用中心”，强调算力与产业结合。研判：2026年底将出现区域算力供需失衡，西部枢纽利用率提升但东部智能算力缺口仍存，需动态调度机制。</w:t>
      </w:r>
    </w:p>
    <w:p>
      <w:r>
        <w:rPr>
          <w:b/>
          <w:color w:val="5B6DE4"/>
        </w:rPr>
        <w:t xml:space="preserve">④  </w:t>
      </w:r>
      <w:r>
        <w:t>趋势4（现象+逻辑+研判）：现象：网信办持续发布生成式AI服务备案信息（2026年3-4月批次），备案制成为常态化监管工具。逻辑：生成式AI备案制既保障创新空间又控制风险，备案信息公示增加透明度。研判：备案范围可能扩展至AI智能体、多模态模型，未备案服务面临下架风险，企业需建立内部合规审查流程。</w:t>
      </w:r>
    </w:p>
    <w:p>
      <w:r>
        <w:rPr>
          <w:b/>
          <w:color w:val="5B6DE4"/>
        </w:rPr>
        <w:t xml:space="preserve">⑤  </w:t>
      </w:r>
      <w:r>
        <w:t>趋势5（现象+逻辑+研判）：现象：广东、浙江、福建等省密集启动2026年度工业数字化转型项目申报，聚焦AI赋能新型工业化。逻辑：制造业大省率先通过财政奖补引导企业“智改数转”，项目制可精准支持标杆场景。研判：2026年制造业数字化转型将进入“行业深耕”阶段，中小企业数字化水平评测标准有望全国统一。</w:t>
      </w:r>
    </w:p>
    <w:p>
      <w:r>
        <w:rPr>
          <w:b/>
          <w:color w:val="5B6DE4"/>
        </w:rPr>
        <w:t xml:space="preserve">⑥  </w:t>
      </w:r>
      <w:r>
        <w:t>趋势6（国际比较）：现象：中国发布《智能体规范应用与创新发展实施意见》，日本推出《AI治理框架2026》，欧盟细化《人工智能法案》实施指南，美国发布《人工智能权利法案》进展报告。逻辑：四大经济体均转向“发展+监管”双轮驱动，但路径不同：中国侧重产业促进与备案制，日本强调风险分级与国际协调，欧盟以风险分类为基石，美国注重权利保障与行业自律。研判：全球AI治理碎片化加剧，跨国企业面临多套合规体系，中国应积极参与ISO/IEC AI标准制定，争取规则话语权。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