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生成日期：2026-10-12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《促进数字化绿色化协同转型发展实施方案（2026-2030年）》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发文日期：2026-09-04</w:t>
        <w:br/>
        <w:t>原文链接：https://www.cac.gov.cn/wxzw/zcfg/zcwj/A09370306index_1.htm</w:t>
      </w:r>
    </w:p>
    <w:p>
      <w:pPr>
        <w:ind w:left="240"/>
      </w:pPr>
      <w:r>
        <w:t>部署数字化与绿色化协同转型五年任务，明确双化协同重点方向。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《大型个人信息处理者个人信息保护规定（征求意见稿）》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原文链接：https://www.cac.gov.cn/wxzw/sjzl/A093708index_1.htm</w:t>
      </w:r>
    </w:p>
    <w:p>
      <w:pPr>
        <w:ind w:left="240"/>
      </w:pPr>
      <w:r>
        <w:t>拟对大型个人信息处理者设定专门保护义务，公开征求意见。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  <w:br/>
        <w:t>原文链接：https://gyxxh.tj.gov.cn/ZWGK4147/ZCWJ6355/gjjwj/202607/t20260713_7334666.html</w:t>
      </w:r>
    </w:p>
    <w:p>
      <w:pPr>
        <w:ind w:left="240"/>
      </w:pPr>
      <w:r>
        <w:t>四部门联合部署互联网基础资源高质量发展，强化域名、IP等资源管理。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《深化互联网协议第六版（IPv6）技术创新和融合应用实施方案（2026—2030年）》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发文日期：2026-07-21</w:t>
        <w:br/>
        <w:t>原文链接：https://www.cac.gov.cn/wxzw/zcfg/zcwj/A09370306index_1.htm</w:t>
      </w:r>
    </w:p>
    <w:p>
      <w:pPr>
        <w:ind w:left="240"/>
      </w:pPr>
      <w:r>
        <w:t>提出IPv6技术创新与融合应用五年方案，推动下一代互联网规模部署。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号：暂无</w:t>
        <w:br/>
        <w:t>发文机关：工业和信息化部等八部门</w:t>
        <w:br/>
        <w:t>发文日期：2026-02-03</w:t>
        <w:br/>
        <w:t>原文链接：https://www.miit.gov.cn/gyhxxhb/jgsj/wlaqglj/zcjd/index.html</w:t>
      </w:r>
    </w:p>
    <w:p>
      <w:pPr>
        <w:ind w:left="240"/>
      </w:pPr>
      <w:r>
        <w:t>明确汽车数据出境安全评估与合规要求，八部门联合推进汽车数据治理。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《药物临床试验电子数据指导原则》</w:t>
      </w:r>
    </w:p>
    <w:p>
      <w:r>
        <w:rPr>
          <w:color w:val="646464"/>
          <w:sz w:val="20"/>
        </w:rPr>
        <w:t>文　　号：暂无</w:t>
        <w:br/>
        <w:t>发文机关：国家药监局药审中心</w:t>
        <w:br/>
        <w:t>发文日期：2026-09-23</w:t>
        <w:br/>
        <w:t>原文链接：https://wappass.baidu.com/static/captcha/tuxing.html?ak=572be823e2f50ea759a616c060d6b9f1&amp;backurl=https%3A%2F%2Fmbd.baidu.com%2Fnewspage%2Fdata%2Flandingsuper%3Fid%3D1877749886620706062%26wfr%3Dspider%26for%3Dpc%26third%3Dbaijiahao%26baijiahao_id%3D1877749886620706062%26c_source%3Dkunlun%26c_score%3D0.999100&amp;timestamp=1791766593&amp;signature=ca1fdd895a06284196409139e0d3d473</w:t>
      </w:r>
    </w:p>
    <w:p>
      <w:pPr>
        <w:ind w:left="240"/>
      </w:pPr>
      <w:r>
        <w:t>规范药物临床试验电子数据全流程，明确计算机化系统与ALCOA++原则。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《2026年个人信息保护系列专项行动阶段性成效通报》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发文日期：2026-08-19</w:t>
        <w:br/>
        <w:t>原文链接：https://www.cac.gov.cn/wxzw/sjzl/A093708index_1.htm</w:t>
      </w:r>
    </w:p>
    <w:p>
      <w:pPr>
        <w:ind w:left="240"/>
      </w:pPr>
      <w:r>
        <w:t>通报个人信息保护专项行动阶段性成果，披露典型问题与整改情况。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号：暂无</w:t>
        <w:br/>
        <w:t>发文机关：工业和信息化部等八部门</w:t>
        <w:br/>
        <w:t>发文日期：2026-02-03</w:t>
        <w:br/>
        <w:t>原文链接：https://www.miit.gov.cn/gyhxxhb/jgsj/wlaqglj/zcjd/index.html</w:t>
      </w:r>
    </w:p>
    <w:p>
      <w:pPr>
        <w:ind w:left="240"/>
      </w:pPr>
      <w:r>
        <w:t>明确汽车数据出境安全评估与合规要求，八部门联合推进汽车数据治理。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《药物临床试验电子数据指导原则》</w:t>
      </w:r>
    </w:p>
    <w:p>
      <w:r>
        <w:rPr>
          <w:color w:val="646464"/>
          <w:sz w:val="20"/>
        </w:rPr>
        <w:t>文　　号：暂无</w:t>
        <w:br/>
        <w:t>发文机关：国家药监局药审中心</w:t>
        <w:br/>
        <w:t>发文日期：2026-09-23</w:t>
        <w:br/>
        <w:t>原文链接：https://wappass.baidu.com/static/captcha/tuxing.html?ak=572be823e2f50ea759a616c060d6b9f1&amp;backurl=https%3A%2F%2Fmbd.baidu.com%2Fnewspage%2Fdata%2Flandingsuper%3Fid%3D1877749886620706062%26wfr%3Dspider%26for%3Dpc%26third%3Dbaijiahao%26baijiahao_id%3D1877749886620706062%26c_source%3Dkunlun%26c_score%3D0.999100&amp;timestamp=1791766593&amp;signature=ca1fdd895a06284196409139e0d3d473</w:t>
      </w:r>
    </w:p>
    <w:p>
      <w:pPr>
        <w:ind w:left="240"/>
      </w:pPr>
      <w:r>
        <w:t>规范药物临床试验电子数据全流程，明确计算机化系统与ALCOA++原则。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《2026年中国AI发展趋势前瞻》</w:t>
      </w:r>
    </w:p>
    <w:p>
      <w:r>
        <w:rPr>
          <w:color w:val="646464"/>
          <w:sz w:val="20"/>
        </w:rPr>
        <w:t>文　　号：暂无</w:t>
        <w:br/>
        <w:t>发文机关：新华深读、广州网信办转载</w:t>
        <w:br/>
        <w:t>发文日期：2026-01-28</w:t>
        <w:br/>
        <w:t>原文链接：https://igz.gzwxb.gov.cn/context/contextId/215009</w:t>
      </w:r>
    </w:p>
    <w:p>
      <w:pPr>
        <w:ind w:left="240"/>
      </w:pPr>
      <w:r>
        <w:t>分析2026年中国AI发展趋势，指出数据孤岛与流通壁垒等核心挑战。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《互联网危险物品信息发布管理规定》</w:t>
      </w:r>
    </w:p>
    <w:p>
      <w:r>
        <w:rPr>
          <w:color w:val="646464"/>
          <w:sz w:val="20"/>
        </w:rPr>
        <w:t>文　　号：暂无</w:t>
        <w:br/>
        <w:t>发文机关：公安部、网信办、工信部等6部门</w:t>
        <w:br/>
        <w:t>发文日期：2026-10-12</w:t>
        <w:br/>
        <w:t>原文链接：https://cagd.gov.cn/c/a/28/</w:t>
      </w:r>
    </w:p>
    <w:p>
      <w:pPr>
        <w:ind w:left="240"/>
      </w:pPr>
      <w:r>
        <w:t>六部门联合规范互联网危险物品信息发布，强化平台审核责任。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《数据治理_中央网络安全和信息化委员会办公室专栏》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发文日期：2026-08-20</w:t>
        <w:br/>
        <w:t>原文链接：https://www.cac.gov.cn/wxzw/sjzl/A093708index_1.htm</w:t>
      </w:r>
    </w:p>
    <w:p>
      <w:pPr>
        <w:ind w:left="240"/>
      </w:pPr>
      <w:r>
        <w:t>网信办数据治理专栏集中发布数据安全与个人信息保护政策文件。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《专家解读：善治护权开新局》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发文日期：2026-07-24</w:t>
        <w:br/>
        <w:t>原文链接：https://www.cac.gov.cn/wxzw/sjzl/A093708index_1.htm</w:t>
      </w:r>
    </w:p>
    <w:p>
      <w:pPr>
        <w:ind w:left="240"/>
      </w:pPr>
      <w:r>
        <w:t>专家解读数据治理与个人信息保护政策走向，强调善治与权益平衡。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《数安中国行2026年数据安全和个人信息保护政策法规宣讲会（广东）》</w:t>
      </w:r>
    </w:p>
    <w:p>
      <w:r>
        <w:rPr>
          <w:color w:val="646464"/>
          <w:sz w:val="20"/>
        </w:rPr>
        <w:t>文　　号：暂无</w:t>
        <w:br/>
        <w:t>发文机关：国家互联网信息办公室、广东省网信办</w:t>
        <w:br/>
        <w:t>发文日期：2026-09-30</w:t>
        <w:br/>
        <w:t>原文链接：https://www.cac.gov.cn/wxzw/sjzl/A093708index_1.htm</w:t>
      </w:r>
    </w:p>
    <w:p>
      <w:pPr>
        <w:ind w:left="240"/>
      </w:pPr>
      <w:r>
        <w:t>在广东举办数据安全与个人信息保护政策法规宣讲，推动地方合规落地。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《大成数据合规资讯2026年第九期》</w:t>
      </w:r>
    </w:p>
    <w:p>
      <w:r>
        <w:rPr>
          <w:color w:val="646464"/>
          <w:sz w:val="20"/>
        </w:rPr>
        <w:t>文　　号：暂无</w:t>
        <w:br/>
        <w:t>发文机关：北京大成（深圳）律师事务所</w:t>
        <w:br/>
        <w:t>发文日期：2026-09-30</w:t>
        <w:br/>
        <w:t>原文链接：https://wappass.baidu.com/static/captcha/tuxing.html?ak=572be823e2f50ea759a616c060d6b9f1&amp;backurl=https%3A%2F%2Fmbd.baidu.com%2Fnewspage%2Fdata%2Flandingsuper%3Fid%3D1877749886620706062%26wfr%3Dspider%26for%3Dpc%26third%3Dbaijiahao%26baijiahao_id%3D1877749886620706062%26c_source%3Dkunlun%26c_score%3D0.999100&amp;timestamp=1791766593&amp;signature=ca1fdd895a06284196409139e0d3d473</w:t>
      </w:r>
    </w:p>
    <w:p>
      <w:pPr>
        <w:ind w:left="240"/>
      </w:pPr>
      <w:r>
        <w:t>汇总2026年9月数据合规动态，涵盖集群认定、药审数据等要点。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网信办9月发布《促进数字化绿色化协同转型发展实施方案（2026-2030年）》，将双化协同上升为五年制度安排。逻辑：数字化能耗与绿色转型压力叠加，政策意图在于以数字技术赋能碳管理、以绿色约束引导算力布局。研判：预计后续将出台数据中心PUE与绿电占比硬性指标，算力枢纽绿电消纳比例或成地方考核新抓手。</w:t>
      </w:r>
    </w:p>
    <w:p>
      <w:r>
        <w:rPr>
          <w:b/>
          <w:color w:val="5B6DE4"/>
        </w:rPr>
        <w:t xml:space="preserve">②  </w:t>
      </w:r>
      <w:r>
        <w:t>现象：网信办8月发布《促进网信企业高质量发展行动计划（2026-2030年）》，首次以五年行动计划形式统筹网信企业创新与合规。逻辑：网信企业既是数字经济主力，也是数据安全责任主体，政策试图在促发展与防风险间建立制度平衡。研判：后续可能配套分类分级监管与合规激励清单，头部平台合规成本上升但市场集中度或进一步提高。</w:t>
      </w:r>
    </w:p>
    <w:p>
      <w:r>
        <w:rPr>
          <w:b/>
          <w:color w:val="5B6DE4"/>
        </w:rPr>
        <w:t xml:space="preserve">③  </w:t>
      </w:r>
      <w:r>
        <w:t>现象：国家网信办8月就《大型个人信息处理者个人信息保护规定（征求意见稿）》公开征求意见，拟对大型处理者设专门义务。逻辑：个人信息保护法实施后，监管从普遍合规转向重点主体精准治理，大型平台成为制度抓手。研判：正式稿可能引入独立监督机构与年度审计要求，中小平台将被间接传导合规压力，行业合规服务市场扩容。</w:t>
      </w:r>
    </w:p>
    <w:p>
      <w:r>
        <w:rPr>
          <w:b/>
          <w:color w:val="5B6DE4"/>
        </w:rPr>
        <w:t xml:space="preserve">④  </w:t>
      </w:r>
      <w:r>
        <w:t>现象：工信部等四部门7月联合印发《关于推动互联网基础资源高质量发展的指导意见》，强化域名、IP等基础资源管理。逻辑：互联网基础资源是数字经济底座，政策意图在于提升自主可控能力与资源分配效率。研判：后续可能推动国家顶级域名应用与IPv6地址规划细化，基础资源管理或与网络安全审查联动，地方数据局承接落地任务。</w:t>
      </w:r>
    </w:p>
    <w:p>
      <w:r>
        <w:rPr>
          <w:b/>
          <w:color w:val="5B6DE4"/>
        </w:rPr>
        <w:t xml:space="preserve">⑤  </w:t>
      </w:r>
      <w:r>
        <w:t>现象：工信部等八部门2月发布《汽车数据出境安全指引（2026版）》，明确汽车数据出境评估与合规要求。逻辑：智能网联汽车数据跨境需求激增，政策在促进产业国际化与保障国家安全间寻求平衡。研判：汽车行业或成数据出境负面清单管理先行领域，车企需建立数据分类分级与出境评估常态化机制，合规成本向供应链传导。</w:t>
      </w:r>
    </w:p>
    <w:p>
      <w:r>
        <w:rPr>
          <w:b/>
          <w:color w:val="5B6DE4"/>
        </w:rPr>
        <w:t xml:space="preserve">⑥  </w:t>
      </w:r>
      <w:r>
        <w:t>现象：中国以网信办五年行动方案与数据出境指引推进制度落地，日本数字厅聚焦AI治理与数字身份，美国以行政令与NIST框架推动AI安全，欧盟AI Act与GDPR并行强化数据治理。逻辑：三方均将AI与数据列为战略核心，但中国偏重发展与安全统筹，美欧偏重风险规制，日本偏重社会应用。研判：中国可借鉴欧盟风险分级与日本敏捷治理经验，在数据跨境与AI监管间建立更具弹性的制度接口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