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6DE4"/>
          <w:sz w:val="44"/>
        </w:rPr>
        <w:t>数据和信息化政策日报</w:t>
      </w:r>
    </w:p>
    <w:p>
      <w:pPr>
        <w:jc w:val="center"/>
      </w:pPr>
      <w:r>
        <w:rPr>
          <w:color w:val="828282"/>
          <w:sz w:val="22"/>
        </w:rPr>
        <w:t>生成日期：2026-08-10　　数据 · 算力 · 信息化</w:t>
      </w:r>
    </w:p>
    <w:p/>
    <w:p>
      <w:pPr>
        <w:pStyle w:val="Heading1"/>
      </w:pPr>
      <w:r>
        <w:rPr>
          <w:color w:val="5B6DE4"/>
          <w:sz w:val="28"/>
        </w:rPr>
        <w:t>一、过去 24 小时关键政策</w:t>
      </w:r>
    </w:p>
    <w:p>
      <w:r>
        <w:rPr>
          <w:b/>
          <w:sz w:val="24"/>
        </w:rPr>
        <w:t>《2026中国国际大数据产业博览会新闻发布会》</w:t>
      </w:r>
    </w:p>
    <w:p>
      <w:r>
        <w:rPr>
          <w:color w:val="646464"/>
          <w:sz w:val="20"/>
        </w:rPr>
        <w:t>文　　号：暂无</w:t>
        <w:br/>
        <w:t>发文机关：国家数据局</w:t>
        <w:br/>
        <w:t>发文日期：2026-08-06</w:t>
      </w:r>
    </w:p>
    <w:p>
      <w:pPr>
        <w:ind w:left="240"/>
      </w:pPr>
      <w:r>
        <w:t>数博会新闻发布会召开，介绍算力底座、数据供给、模型驱动等5大主题板块及参展情况。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《2026年人工智能券算力券兑付申报》</w:t>
      </w:r>
    </w:p>
    <w:p>
      <w:r>
        <w:rPr>
          <w:color w:val="646464"/>
          <w:sz w:val="20"/>
        </w:rPr>
        <w:t>文　　号：暂无</w:t>
        <w:br/>
        <w:t>发文机关：浙江省发展和改革委员会</w:t>
        <w:br/>
        <w:t>发文日期：2026-08-01</w:t>
      </w:r>
    </w:p>
    <w:p>
      <w:pPr>
        <w:ind w:left="240"/>
      </w:pPr>
      <w:r>
        <w:t>浙江组织开展2026年人工智能券兑付申报，使用超长期特别国债资金降低算力使用成本。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二、过去一个月主要政策动向</w:t>
      </w:r>
    </w:p>
    <w:p>
      <w:r>
        <w:rPr>
          <w:b/>
          <w:sz w:val="24"/>
        </w:rPr>
        <w:t>《关于推动互联网基础资源高质量发展的指导意见》</w:t>
      </w:r>
    </w:p>
    <w:p>
      <w:r>
        <w:rPr>
          <w:color w:val="646464"/>
          <w:sz w:val="20"/>
        </w:rPr>
        <w:t>文　　号：暂无</w:t>
        <w:br/>
        <w:t>发文机关：工业和信息化部、中央网信办、国家发展改革委、国家数据局</w:t>
        <w:br/>
        <w:t>发文日期：2026-07-13</w:t>
        <w:br/>
        <w:t>原文链接：https://gyxxh.tj.gov.cn/ZWGK4147/ZCWJ6355/gjjwj/202607/t20260713_7334666.html</w:t>
      </w:r>
    </w:p>
    <w:p>
      <w:pPr>
        <w:ind w:left="240"/>
      </w:pPr>
      <w:r>
        <w:t>四部门联合印发，推动互联网基础资源高质量发展，强化域名、IP地址等资源管理。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《2026年数字经济发展工作要点》</w:t>
      </w:r>
    </w:p>
    <w:p>
      <w:r>
        <w:rPr>
          <w:color w:val="646464"/>
          <w:sz w:val="20"/>
        </w:rPr>
        <w:t>文　　号：暂无</w:t>
        <w:br/>
        <w:t>发文机关：国家数据局</w:t>
        <w:br/>
        <w:t>发文日期：2026-07-21</w:t>
        <w:br/>
        <w:t>原文链接：http://fjgov.cn/jjxx/xxhdt/202605/t20260521_7150501.htm</w:t>
      </w:r>
    </w:p>
    <w:p>
      <w:pPr>
        <w:ind w:left="240"/>
      </w:pPr>
      <w:r>
        <w:t>部署8方面重点任务，深化数据要素市场化配置改革，筑牢数字基础设施底座。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《广西深入实施人工智能+三年行动方案2026—2028年》</w:t>
      </w:r>
    </w:p>
    <w:p>
      <w:r>
        <w:rPr>
          <w:color w:val="646464"/>
          <w:sz w:val="20"/>
        </w:rPr>
        <w:t>文　　号：暂无</w:t>
        <w:br/>
        <w:t>发文机关：广西壮族自治区人民政府</w:t>
        <w:br/>
        <w:t>发文日期：2026-07-15</w:t>
      </w:r>
    </w:p>
    <w:p>
      <w:pPr>
        <w:ind w:left="240"/>
      </w:pPr>
      <w:r>
        <w:t>广西印发方案，建设面向东盟的人工智能国际合作高地，到2028年全面建成中国—东盟合作区。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《2026年度嘉定区促进城市数字化转型和数字经济发展专项》</w:t>
      </w:r>
    </w:p>
    <w:p>
      <w:r>
        <w:rPr>
          <w:color w:val="646464"/>
          <w:sz w:val="20"/>
        </w:rPr>
        <w:t>文　　号：暂无</w:t>
        <w:br/>
        <w:t>发文机关：上海市嘉定区</w:t>
        <w:br/>
        <w:t>发文日期：2026-07-07</w:t>
      </w:r>
    </w:p>
    <w:p>
      <w:pPr>
        <w:ind w:left="240"/>
      </w:pPr>
      <w:r>
        <w:t>嘉定区开展2026年度数字化转型和数字经济发展项目专项申报，支持城市数字化转型。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《2026年中小企业数字化转型城市试点有关政策》</w:t>
      </w:r>
    </w:p>
    <w:p>
      <w:r>
        <w:rPr>
          <w:color w:val="646464"/>
          <w:sz w:val="20"/>
        </w:rPr>
        <w:t>文　　号：暂无</w:t>
        <w:br/>
        <w:t>发文机关：广州市工业和信息化局</w:t>
        <w:br/>
        <w:t>发文日期：2026-07-03</w:t>
        <w:br/>
        <w:t>原文链接：https://gxj.gz.gov.cn/zt/zdzt/axqyszhzxzq/content/post_10755502.html</w:t>
      </w:r>
    </w:p>
    <w:p>
      <w:pPr>
        <w:ind w:left="240"/>
      </w:pPr>
      <w:r>
        <w:t>广州延期省级城市试点政策至2026年底，支持中小企业数字化改造和产业链平台建设。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三、今年以来主要政策</w:t>
      </w:r>
    </w:p>
    <w:p>
      <w:r>
        <w:rPr>
          <w:b/>
          <w:sz w:val="24"/>
        </w:rPr>
        <w:t>《汽车数据出境安全指引2026版》</w:t>
      </w:r>
    </w:p>
    <w:p>
      <w:r>
        <w:rPr>
          <w:color w:val="646464"/>
          <w:sz w:val="20"/>
        </w:rPr>
        <w:t>文　　号：工信部联网安〔2026〕27号</w:t>
        <w:br/>
        <w:t>发文机关：工业和信息化部等八部门</w:t>
        <w:br/>
        <w:t>发文日期：2026-02-03</w:t>
        <w:br/>
        <w:t>原文链接：https://www.cac.gov.cn/2026-02/03/c_1771851453192164.htm</w:t>
      </w:r>
    </w:p>
    <w:p>
      <w:pPr>
        <w:ind w:left="240"/>
      </w:pPr>
      <w:r>
        <w:t>八部门联合印发，建立高效便利安全的汽车数据跨境流动机制，提升出境便利化水平。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《互联网用户账号信息管理规定》</w:t>
      </w:r>
    </w:p>
    <w:p>
      <w:r>
        <w:rPr>
          <w:color w:val="646464"/>
          <w:sz w:val="20"/>
        </w:rPr>
        <w:t>文　　号：暂无</w:t>
        <w:br/>
        <w:t>发文机关：国家网信办</w:t>
        <w:br/>
        <w:t>发文日期：2026-08-01</w:t>
      </w:r>
    </w:p>
    <w:p>
      <w:pPr>
        <w:ind w:left="240"/>
      </w:pPr>
      <w:r>
        <w:t>规范互联网用户账号信息管理，自2026年8月1日起施行。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《人工智能+信息通信创新发展实施意见2026—2028》</w:t>
      </w:r>
    </w:p>
    <w:p>
      <w:r>
        <w:rPr>
          <w:color w:val="646464"/>
          <w:sz w:val="20"/>
        </w:rPr>
        <w:t>文　　号：暂无</w:t>
        <w:br/>
        <w:t>发文机关：工业和信息化部</w:t>
        <w:br/>
        <w:t>发文日期：2026-06-15</w:t>
        <w:br/>
        <w:t>原文链接：https://www.hbqj.gov.cn/sjjhxxhj/zfxxgk/zc/bbmwj/202606/t20260612_5957098.html</w:t>
      </w:r>
    </w:p>
    <w:p>
      <w:pPr>
        <w:ind w:left="240"/>
      </w:pPr>
      <w:r>
        <w:t>工信部印发实施意见，构建枢纽—区域—边缘三级算力设施体系，推动算力大通道建设。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《普惠算力赋能中小企业发展专项行动》</w:t>
      </w:r>
    </w:p>
    <w:p>
      <w:r>
        <w:rPr>
          <w:color w:val="646464"/>
          <w:sz w:val="20"/>
        </w:rPr>
        <w:t>文　　号：暂无</w:t>
        <w:br/>
        <w:t>发文机关：工业和信息化部办公厅</w:t>
        <w:br/>
        <w:t>发文日期：2026-04-03</w:t>
        <w:br/>
        <w:t>原文链接：https://gyxxh.tj.gov.cn/ZWGK4147/ZCWJ6355/gjjwj/202604/t20260403_7275768.html</w:t>
      </w:r>
    </w:p>
    <w:p>
      <w:pPr>
        <w:ind w:left="240"/>
      </w:pPr>
      <w:r>
        <w:t>工信部组织开展专项行动，提升算力普惠易用水平，降低中小企业用算成本。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《2026年度苏州市科创指数惠人工智能算力补贴》</w:t>
      </w:r>
    </w:p>
    <w:p>
      <w:r>
        <w:rPr>
          <w:color w:val="646464"/>
          <w:sz w:val="20"/>
        </w:rPr>
        <w:t>文　　号：暂无</w:t>
        <w:br/>
        <w:t>发文机关：苏州市科技局</w:t>
        <w:br/>
        <w:t>发文日期：2026-04-08</w:t>
        <w:br/>
        <w:t>原文链接：https://sst.suzhou.gov.cn/ndaservplat/Apps/sme/index.php?s=/Home/Notice/noticeDetail/id/1350</w:t>
      </w:r>
    </w:p>
    <w:p>
      <w:pPr>
        <w:ind w:left="240"/>
      </w:pPr>
      <w:r>
        <w:t>苏州对符合条件企业按实际支付智能算力租用费用的30%给予每年最高200万元补贴。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《2026年省级工业数字化转型项目申报》</w:t>
      </w:r>
    </w:p>
    <w:p>
      <w:r>
        <w:rPr>
          <w:color w:val="646464"/>
          <w:sz w:val="20"/>
        </w:rPr>
        <w:t>文　　号：闽工信函信息〔2026〕43号</w:t>
        <w:br/>
        <w:t>发文机关：福建省工业和信息化厅</w:t>
        <w:br/>
        <w:t>发文日期：2026-01-28</w:t>
        <w:br/>
        <w:t>原文链接：https://gxt.fujian.gov.cn/zwgk/zfxxgk/fdzdgknr/gzdt/202601/t20260128_7086399.htm?assistant=true</w:t>
      </w:r>
    </w:p>
    <w:p>
      <w:pPr>
        <w:ind w:left="240"/>
      </w:pPr>
      <w:r>
        <w:t>福建开展省级工业数字化转型项目申报，支持企业数字化改造和智能化发展。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《2026年工业互联网重点项目补助》</w:t>
      </w:r>
    </w:p>
    <w:p>
      <w:r>
        <w:rPr>
          <w:color w:val="646464"/>
          <w:sz w:val="20"/>
        </w:rPr>
        <w:t>文　　号：暂无</w:t>
        <w:br/>
        <w:t>发文机关：福州市工业和信息化局、福州市财政局</w:t>
        <w:br/>
        <w:t>发文日期：2026-03-26</w:t>
        <w:br/>
        <w:t>原文链接：https://www.fuzhou.gov.cn/zwgk/zxwj/bmwj_1/202603/t20260326_5301055.htm</w:t>
      </w:r>
    </w:p>
    <w:p>
      <w:pPr>
        <w:ind w:left="240"/>
      </w:pPr>
      <w:r>
        <w:t>福州对成效明显的工业互联网项目按实际投资额的20%予以补助，最高不超过200万元。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《中国北京自由贸易试验区数据出境负面清单及管理办法》</w:t>
      </w:r>
    </w:p>
    <w:p>
      <w:r>
        <w:rPr>
          <w:color w:val="646464"/>
          <w:sz w:val="20"/>
        </w:rPr>
        <w:t>文　　号：暂无</w:t>
        <w:br/>
        <w:t>发文机关：北京市互联网信息办公室等三部门</w:t>
        <w:br/>
        <w:t>发文日期：2026-05-18</w:t>
        <w:br/>
        <w:t>原文链接：https://www.cac.gov.cn/wxzw/sjzl/A093708index_1.htm</w:t>
      </w:r>
    </w:p>
    <w:p>
      <w:pPr>
        <w:ind w:left="240"/>
      </w:pPr>
      <w:r>
        <w:t>北京自贸试验区出台数据出境负面清单及管理办法，规范数据跨境流动。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四、未来趋势判断</w:t>
      </w:r>
    </w:p>
    <w:p>
      <w:r>
        <w:rPr>
          <w:b/>
          <w:color w:val="5B6DE4"/>
        </w:rPr>
        <w:t xml:space="preserve">①  </w:t>
      </w:r>
      <w:r>
        <w:t>① 数据出境安全治理进入行业细化阶段。工信部等八部门2月印发《汽车数据出境安全指引（2026版）》，北京、上海自贸区相继发布数据出境负面清单，显示国家正从通用规则转向分行业、分场景的精准监管。逻辑在于汽车、金融等行业数据敏感度高且跨境需求迫切，需要平衡安全与发展。研判下一步将有更多行业性数据出境指引出台，企业合规成本可能短期上升，但长期有利于形成稳定可预期的制度环境。</w:t>
      </w:r>
    </w:p>
    <w:p>
      <w:r>
        <w:rPr>
          <w:b/>
          <w:color w:val="5B6DE4"/>
        </w:rPr>
        <w:t xml:space="preserve">②  </w:t>
      </w:r>
      <w:r>
        <w:t>② 算力政策从基础设施建设转向普惠化应用。工信部4月启动普惠算力赋能中小企业专项行动，浙江、苏州等地推出算力券、算力补贴，国家数据局披露140万PFLOPS智能算力已接入全国一体化算力网。逻辑在于前期东数西算工程已解决供给问题，当前重点是降低用算门槛、扩大需求侧规模。研判算力券模式将向全国推广，但需防范地方补贴竞争导致资源错配，应建立全国统一的算力定价和结算体系。</w:t>
      </w:r>
    </w:p>
    <w:p>
      <w:r>
        <w:rPr>
          <w:b/>
          <w:color w:val="5B6DE4"/>
        </w:rPr>
        <w:t xml:space="preserve">③  </w:t>
      </w:r>
      <w:r>
        <w:t>③ 人工智能+政策密集落地，区域差异化布局加速。工信部印发《人工智能+信息通信创新发展实施意见》，广西出台面向东盟的人工智能+三年行动方案，上海、广东等地跟进数字化转型专项。逻辑在于国家顶层设计已明确方向，各地结合区位优势寻找差异化定位，如广西主打东盟应用场景。研判区域间AI产业竞争将加剧，建议关注中西部地区如何避免同质化，真正形成与东部互补的产业分工。</w:t>
      </w:r>
    </w:p>
    <w:p>
      <w:r>
        <w:rPr>
          <w:b/>
          <w:color w:val="5B6DE4"/>
        </w:rPr>
        <w:t xml:space="preserve">④  </w:t>
      </w:r>
      <w:r>
        <w:t>④ 网络数据安全风险评估制度正式落地。网信办、工信部、公安部三部门6月联合公布《网络数据安全风险评估办法》，8月20日施行，与此前出台的《网络数据安全管理条例》形成配套。逻辑在于数据安全法确立的评估制度需要具体操作细则，特别是针对重要数据处理者的风险评估要求。研判该办法将催生第三方评估机构市场，但需警惕评估形式化问题，应建立评估结果互认和动态监管机制。</w:t>
      </w:r>
    </w:p>
    <w:p>
      <w:r>
        <w:rPr>
          <w:b/>
          <w:color w:val="5B6DE4"/>
        </w:rPr>
        <w:t xml:space="preserve">⑤  </w:t>
      </w:r>
      <w:r>
        <w:t>⑤ 互联网基础资源管理上升为国家战略议题。工信部等四部门7月联合发文推动互联网基础资源高质量发展，涵盖域名、IP地址、自治系统号码等关键资源。逻辑在于数字经济发展依赖稳定可控的网络根基，尤其在当前国际地缘政治复杂背景下，保障基础资源安全意义重大。研判后续将强化根服务器镜像节点建设，推动IPv6规模部署，并可能对关键基础资源实施更严格的国家统筹管理。</w:t>
      </w:r>
    </w:p>
    <w:p>
      <w:r>
        <w:rPr>
          <w:b/>
          <w:color w:val="5B6DE4"/>
        </w:rPr>
        <w:t xml:space="preserve">⑥  </w:t>
      </w:r>
      <w:r>
        <w:t>⑥ 国际比较：中国AI治理走行业试点路线，与欧盟统一立法路径形成鲜明对照。欧盟《人工智能法案》已进入实施阶段，采取风险分级统一监管；美国通过行政令和NIST框架推动自愿性标准；中国则通过行业指引（如汽车数据出境）和地方试点（如自贸区负面清单）渐进推进。逻辑在于中国更强调发展与安全并重，避免一刀切阻碍创新。研判中国路径在产业落地效率上占优，但企业面对多部门、多层级规则可能产生合规困惑，未来需加强制度协调统一。</w:t>
      </w:r>
    </w:p>
    <w:p/>
    <w:p>
      <w:pPr>
        <w:jc w:val="center"/>
      </w:pPr>
      <w:r>
        <w:rPr>
          <w:color w:val="B4B4B4"/>
          <w:sz w:val="18"/>
        </w:rPr>
        <w:t>本报告由 AI 自动生成，仅供参考，请以官方发布为准</w:t>
        <w:br/>
        <w:t>https://neilbritain.github.io/daily-policy-report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仿宋" w:hAnsi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