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生成日期：2026-09-13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《信息通信行业发展十五五规划》</w:t>
      </w:r>
    </w:p>
    <w:p>
      <w:r>
        <w:rPr>
          <w:color w:val="646464"/>
          <w:sz w:val="20"/>
        </w:rPr>
        <w:t>文　　号：工信部规〔2026〕188号</w:t>
        <w:br/>
        <w:t>发文机关：工业和信息化部</w:t>
        <w:br/>
        <w:t>发文日期：2026-09-09</w:t>
        <w:br/>
        <w:t>原文链接：https://www.miit.gov.cn/search/zcwjk.html</w:t>
      </w:r>
    </w:p>
    <w:p>
      <w:pPr>
        <w:ind w:left="240"/>
      </w:pPr>
      <w:r>
        <w:t>部署十五五期间5G-A、算力网络、工业互联网等发展目标与重点任务。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《国家信息化发展报告（2025年）》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发文日期：2026-09-04</w:t>
        <w:br/>
        <w:t>原文链接：https://www.cac.gov.cn/wxzw/wxfb/A093702index_1.htm</w:t>
      </w:r>
    </w:p>
    <w:p>
      <w:pPr>
        <w:ind w:left="240"/>
      </w:pPr>
      <w:r>
        <w:t>总结2025年信息化发展成效，披露数字基础设施、数据要素等进展。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发文机关：国家互联网信息办公室、公安部</w:t>
        <w:br/>
        <w:t>发文日期：2026-09-01</w:t>
        <w:br/>
        <w:t>原文链接：https://www.cac.gov.cn/wxzw/wxfb/A093702index_1.htm</w:t>
      </w:r>
    </w:p>
    <w:p>
      <w:pPr>
        <w:ind w:left="240"/>
      </w:pPr>
      <w:r>
        <w:t>对小型个人信息处理者降低合规成本，简化告知同意等义务，9月1日施行。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《信息通信行业发展十五五规划》</w:t>
      </w:r>
    </w:p>
    <w:p>
      <w:r>
        <w:rPr>
          <w:color w:val="646464"/>
          <w:sz w:val="20"/>
        </w:rPr>
        <w:t>文　　号：工信部规〔2026〕188号</w:t>
        <w:br/>
        <w:t>发文机关：工业和信息化部</w:t>
        <w:br/>
        <w:t>发文日期：2026-09-09</w:t>
        <w:br/>
        <w:t>原文链接：https://www.miit.gov.cn/search/zcwjk.html</w:t>
      </w:r>
    </w:p>
    <w:p>
      <w:pPr>
        <w:ind w:left="240"/>
      </w:pPr>
      <w:r>
        <w:t>部署十五五期间5G-A、算力网络、工业互联网等发展目标与重点任务。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《国家信息化发展报告（2025年）》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发文日期：2026-09-04</w:t>
        <w:br/>
        <w:t>原文链接：https://www.cac.gov.cn/wxzw/wxfb/A093702index_1.htm</w:t>
      </w:r>
    </w:p>
    <w:p>
      <w:pPr>
        <w:ind w:left="240"/>
      </w:pPr>
      <w:r>
        <w:t>总结2025年信息化发展成效，披露数字基础设施、数据要素等进展。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发文机关：国家互联网信息办公室、公安部</w:t>
        <w:br/>
        <w:t>发文日期：2026-09-01</w:t>
        <w:br/>
        <w:t>原文链接：https://www.cac.gov.cn/wxzw/wxfb/A093702index_1.htm</w:t>
      </w:r>
    </w:p>
    <w:p>
      <w:pPr>
        <w:ind w:left="240"/>
      </w:pPr>
      <w:r>
        <w:t>对小型个人信息处理者降低合规成本，简化告知同意等义务，9月1日施行。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发文日期：2026-07-24</w:t>
        <w:br/>
        <w:t>原文链接：https://cagd.gov.cn/c/a/12/1.html</w:t>
      </w:r>
    </w:p>
    <w:p>
      <w:pPr>
        <w:ind w:left="240"/>
      </w:pPr>
      <w:r>
        <w:t>以问答形式明确数据出境安全评估、标准合同等适用口径与操作指引。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发文日期：2026-07-21</w:t>
        <w:br/>
        <w:t>原文链接：https://www.cac.gov.cn/wxzw/wxfb/A093702index_1.htm</w:t>
      </w:r>
    </w:p>
    <w:p>
      <w:pPr>
        <w:ind w:left="240"/>
      </w:pPr>
      <w:r>
        <w:t>提出IPv6技术创新与融合应用五年目标，推动网络基础设施升级。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《人工智能拟人化互动服务管理暂行办法》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发文日期：2026-07-14</w:t>
      </w:r>
    </w:p>
    <w:p>
      <w:pPr>
        <w:ind w:left="240"/>
      </w:pPr>
      <w:r>
        <w:t>规范AI拟人化互动服务，要求标识AI身份、防范情感操纵与未成年人保护。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《网络安全标识管理办法》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发文日期：2026-06-30</w:t>
      </w:r>
    </w:p>
    <w:p>
      <w:pPr>
        <w:ind w:left="240"/>
      </w:pPr>
      <w:r>
        <w:t>建立网络安全标识制度，规范产品安全能力标注与认证。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《金融产品网络营销管理办法》</w:t>
      </w:r>
    </w:p>
    <w:p>
      <w:r>
        <w:rPr>
          <w:color w:val="646464"/>
          <w:sz w:val="20"/>
        </w:rPr>
        <w:t>文　　号：暂无</w:t>
        <w:br/>
        <w:t>发文机关：中国人民银行等</w:t>
        <w:br/>
        <w:t>发文日期：2026-06-30</w:t>
      </w:r>
    </w:p>
    <w:p>
      <w:pPr>
        <w:ind w:left="240"/>
      </w:pPr>
      <w:r>
        <w:t>规范金融产品网络营销行为，强化平台责任与算法推荐管理。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《辽宁省数字经济发展规划（2026-2030年）》</w:t>
      </w:r>
    </w:p>
    <w:p>
      <w:r>
        <w:rPr>
          <w:color w:val="646464"/>
          <w:sz w:val="20"/>
        </w:rPr>
        <w:t>文　　号：暂无</w:t>
        <w:br/>
        <w:t>发文机关：辽宁省人民政府</w:t>
        <w:br/>
        <w:t>发文日期：2026-03-15</w:t>
      </w:r>
    </w:p>
    <w:p>
      <w:pPr>
        <w:ind w:left="240"/>
      </w:pPr>
      <w:r>
        <w:t>部署辽宁数字产业化与产业数字化，重点发展工业软件、智能装备。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工信部9月9日印发《信息通信行业发展十五五规划》（工信部规〔2026〕188号），将5G-A、算力网络、工业互联网列为十五五重点。逻辑：这是十五五开局之年首个信息通信顶层规划，意在将前期东数西算、双千兆等基础设施优势转化为产业竞争力，同时为AI大模型训练推理提供网络底座。研判：预计后续将配套出台算力互联互通、5G-A商用等细则，地方工信部门会密集跟进编制省级规划；需关注算力网络跨区域调度机制能否真正落地，避免重复建设。</w:t>
      </w:r>
    </w:p>
    <w:p>
      <w:r>
        <w:rPr>
          <w:b/>
          <w:color w:val="5B6DE4"/>
        </w:rPr>
        <w:t xml:space="preserve">②  </w:t>
      </w:r>
      <w:r>
        <w:t>现象：网信办9月4日发布《国家信息化发展报告（2025年）》，同期《小型个人信息处理者个人信息保护简化措施规定》9月1日施行。逻辑：一为总结展示，二为降低中小主体合规成本，体现监管从一刀切转向分级分类、精准治理。研判：个人信息保护合规将呈现大企业严、小主体简的差异化格局，后续可能扩展至算法备案、数据出境等领域的简化机制，中小企业合规负担有望进一步减轻，但需防范简化后保护水平下降。</w:t>
      </w:r>
    </w:p>
    <w:p>
      <w:r>
        <w:rPr>
          <w:b/>
          <w:color w:val="5B6DE4"/>
        </w:rPr>
        <w:t xml:space="preserve">③  </w:t>
      </w:r>
      <w:r>
        <w:t>现象：中央网信办8月21日发布《促进网信企业高质量发展行动计划（2026-2030年）》，提出培育优质网信企业主线。逻辑：网信企业既是监管对象也是产业主体，政策从单纯规范转向规范与发展并重，意在支持企业融资、出海、技术攻关，应对国际竞争。研判：预计将出现网信企业白名单或分级培育机制，头部平台在合规前提下获得更多政策空间；需关注扶持与监管的平衡，避免监管套利。</w:t>
      </w:r>
    </w:p>
    <w:p>
      <w:r>
        <w:rPr>
          <w:b/>
          <w:color w:val="5B6DE4"/>
        </w:rPr>
        <w:t xml:space="preserve">④  </w:t>
      </w:r>
      <w:r>
        <w:t>现象：新修改的网络安全法2026年1月1日施行，人工智能大模型系列国家标准同期实施，6月又出台《网络安全标识管理办法》。逻辑：法律修订与标准落地形成组合拳，将AI安全、产品安全标识纳入法治化轨道，回应大模型快速迭代带来的新型风险。研判：2026年下半年至2027年将进入执法密集期，企业需加快AI安全评估与标识合规；网络安全标识可能成为产品入市门槛，中小AI企业面临合规成本上升压力。</w:t>
      </w:r>
    </w:p>
    <w:p>
      <w:r>
        <w:rPr>
          <w:b/>
          <w:color w:val="5B6DE4"/>
        </w:rPr>
        <w:t xml:space="preserve">⑤  </w:t>
      </w:r>
      <w:r>
        <w:t>现象：国家网信办7月发布《数据出境安全管理政策法规问答（2026年7月）》，持续优化数据跨境流动制度。逻辑：在安全底线之上便利数据跨境，服务企业出海与国际贸易，是自贸区、跨境电商等场景的现实需求。研判：数据出境负面清单、自贸区试点有望扩围，标准合同与认证适用将进一步明确；企业应建立数据分类分级台账，关注行业主管部门即将出台的细分领域出境指引。</w:t>
      </w:r>
    </w:p>
    <w:p>
      <w:r>
        <w:rPr>
          <w:b/>
          <w:color w:val="5B6DE4"/>
        </w:rPr>
        <w:t xml:space="preserve">⑥  </w:t>
      </w:r>
      <w:r>
        <w:t>现象：国际比较——欧盟AI Act大部分条款2026年8月生效，按风险分级严格监管；日本2025年通过AI法以创新促进为主、监管为辅；美国2023年AI行政令已被撤销，转向放松监管。逻辑：三方路径差异明显，欧盟重权利保护、日本重产业促进、美国重市场主导。中国则以生成式AI暂行办法、大模型国标、网络安全法修订构建敏捷治理。研判：中国可借鉴日本促进与规范并重思路，避免欧盟式高合规成本抑制创新；同时应关注欧盟AI Act域外效力对中国出海企业的合规要求，提前布局互认机制。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