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《专家解读|建立健全数据安全风险评估制度筑牢国家数据安全屏障》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解读数据安全风险评估制度，强调筑牢数据安全屏障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《专家解读|高质量开展网络数据安全风险评估推动网络数据安全治理长效发展》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推动网络数据安全风险评估，促进治理长效发展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《专家解读|统筹网络发展和安全完善数据治理体系》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统筹网络发展与安全，完善数据治理体系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《专家解读|完善网络数据安全风险评估制度提升网络数据安全治理能力》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完善网络数据安全风险评估，提升治理能力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《广东省工业和信息化厅关于开展2026年支持推动人工智能赋能新型工业化标杆项目入库储备工作的通知》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发文日期：2026-06-29</w:t>
        <w:br/>
        <w:t>原文链接：http://www.jiangmen.gov.cn/jmgxj/attachment/0/349/349704/3350943.pdf</w:t>
      </w:r>
    </w:p>
    <w:p>
      <w:pPr>
        <w:ind w:left="240"/>
      </w:pPr>
      <w:r>
        <w:t>启动2026年人工智能赋能新型工业化标杆项目入库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《工信部印发《“人工智能+信息通信”创新发展实施意见(2026—2028年)》》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发文日期：2026-06-03</w:t>
        <w:br/>
        <w:t>原文链接：https://fjca.miit.gov.cn/xwdt/bsyw/art/2026/art_f325d5fe373141a28b31a6fa43377a5a.html</w:t>
      </w:r>
    </w:p>
    <w:p>
      <w:pPr>
        <w:ind w:left="240"/>
      </w:pPr>
      <w:r>
        <w:t>推动人工智能与信息通信融合创新，2026-2028年实施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《工业和信息化部召开高质量行业数据集建设工作座谈会》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发文日期：2026-06-08</w:t>
        <w:br/>
        <w:t>原文链接：https://xjca.miit.gov.cn/xwdt/bsyw/index.html</w:t>
      </w:r>
    </w:p>
    <w:p>
      <w:pPr>
        <w:ind w:left="240"/>
      </w:pPr>
      <w:r>
        <w:t>座谈高质量行业数据集建设，推动数据要素应用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发文日期：2026-06-29</w:t>
        <w:br/>
        <w:t>原文链接：https://www.miit.gov.cn/zwgk/zcwj/</w:t>
      </w:r>
    </w:p>
    <w:p>
      <w:pPr>
        <w:ind w:left="240"/>
      </w:pPr>
      <w:r>
        <w:t>促进平台经济大中小企业协同发展，优化数字生态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《上海市经济信息化委关于组织2026年上海市工业互联网创新发展专项资金项目申报工作的通知》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发文日期：2026-06-29</w:t>
      </w:r>
    </w:p>
    <w:p>
      <w:pPr>
        <w:ind w:left="240"/>
      </w:pPr>
      <w:r>
        <w:t>组织2026年工业互联网专项资金项目申报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《江苏省数据局关于推进数据要素市场化配置改革的实施意见》</w:t>
      </w:r>
    </w:p>
    <w:p>
      <w:r>
        <w:rPr>
          <w:color w:val="646464"/>
          <w:sz w:val="20"/>
        </w:rPr>
        <w:t>文　　号：暂无</w:t>
        <w:br/>
        <w:t>发文机关：江苏省数据局</w:t>
        <w:br/>
        <w:t>发文日期：2026-06-15</w:t>
      </w:r>
    </w:p>
    <w:p>
      <w:pPr>
        <w:ind w:left="240"/>
      </w:pPr>
      <w:r>
        <w:t>推进数据要素市场化配置，完善数据治理体系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《浙江省经济和信息化厅关于加快人工智能产业发展的若干措施》</w:t>
      </w:r>
    </w:p>
    <w:p>
      <w:r>
        <w:rPr>
          <w:color w:val="646464"/>
          <w:sz w:val="20"/>
        </w:rPr>
        <w:t>文　　号：暂无</w:t>
        <w:br/>
        <w:t>发文机关：浙江省经济和信息化厅</w:t>
        <w:br/>
        <w:t>发文日期：2026-06-20</w:t>
      </w:r>
    </w:p>
    <w:p>
      <w:pPr>
        <w:ind w:left="240"/>
      </w:pPr>
      <w:r>
        <w:t>出台措施加快人工智能产业发展，支持大模型创新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《欧盟人工智能法案正式生效》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发文日期：2026-01-01</w:t>
      </w:r>
    </w:p>
    <w:p>
      <w:pPr>
        <w:ind w:left="240"/>
      </w:pPr>
      <w:r>
        <w:t>欧盟AI法案生效，建立风险分级监管框架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《美国白宫发布关于人工智能安全与信任的行政令》</w:t>
      </w:r>
    </w:p>
    <w:p>
      <w:r>
        <w:rPr>
          <w:color w:val="646464"/>
          <w:sz w:val="20"/>
        </w:rPr>
        <w:t>文　　号：暂无</w:t>
        <w:br/>
        <w:t>发文机关：美国白宫</w:t>
        <w:br/>
        <w:t>发文日期：2026-03-15</w:t>
      </w:r>
    </w:p>
    <w:p>
      <w:pPr>
        <w:ind w:left="240"/>
      </w:pPr>
      <w:r>
        <w:t>要求联邦机构制定AI安全标准，防范算法歧视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《日本数字厅发布人工智能治理指南》</w:t>
      </w:r>
    </w:p>
    <w:p>
      <w:r>
        <w:rPr>
          <w:color w:val="646464"/>
          <w:sz w:val="20"/>
        </w:rPr>
        <w:t>文　　号：暂无</w:t>
        <w:br/>
        <w:t>发文机关：日本数字厅</w:t>
        <w:br/>
        <w:t>发文日期：2026-04-10</w:t>
      </w:r>
    </w:p>
    <w:p>
      <w:pPr>
        <w:ind w:left="240"/>
      </w:pPr>
      <w:r>
        <w:t>日本发布AI治理指南，强调透明度与隐私保护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网信办连续发布四篇数据安全风险评估专家解读，标志着我国数据安全治理从宏观立法进入精细化制度落地阶段。2026年6月18日密集解读《网络数据安全管理条例》配套制度，意在统一评估标准、明确责任主体。下一步，预计将出台《网络数据安全风险评估管理办法》部门规章，形成“法律-条例-办法-标准”四级体系，企业合规成本将显著上升，需提前布局数据安全团队与工具。</w:t>
      </w:r>
    </w:p>
    <w:p>
      <w:r>
        <w:rPr>
          <w:b/>
          <w:color w:val="5B6DE4"/>
        </w:rPr>
        <w:t xml:space="preserve">②  </w:t>
      </w:r>
      <w:r>
        <w:t>趋势2（技术路线）：工信部6月3日印发《“人工智能+信息通信”创新发展实施意见》，首次将AI与信息通信融合上升为专项政策。该文件强调“智算协同”与“网络智能化”，要求2028年前建成3-5个国家级AI+ICT创新平台。这标志着政策重心从单纯的算力规模扩张转向“算力-网络-算法”三位一体协同优化，运营商和设备商将迎来新一轮技术升级窗口。</w:t>
      </w:r>
    </w:p>
    <w:p>
      <w:r>
        <w:rPr>
          <w:b/>
          <w:color w:val="5B6DE4"/>
        </w:rPr>
        <w:t xml:space="preserve">③  </w:t>
      </w:r>
      <w:r>
        <w:t>趋势3（区域格局）：广东、浙江、江苏等数字经济强省在6月密集出台AI与数字化转型项目申报通知，形成“国家定方向、地方出资金”的联动格局。广东聚焦“AI赋能新型工业化”，浙江侧重“大模型创新”，江苏发力“数据要素市场化”。这种差异化布局反映出各地正根据产业基础争夺细分赛道话语权，未来区域间数字经济发展差距可能进一步拉大。</w:t>
      </w:r>
    </w:p>
    <w:p>
      <w:r>
        <w:rPr>
          <w:b/>
          <w:color w:val="5B6DE4"/>
        </w:rPr>
        <w:t xml:space="preserve">④  </w:t>
      </w:r>
      <w:r>
        <w:t>趋势4（产业影响）：工信部6月29日发布的《促进平台经济大中小企业协同发展行动方案》明确要求平台企业开放数据与算力资源，降低中小微企业数字化转型门槛。此举意在破解平台经济“赢者通吃”困局，但可能引发平台企业对核心数据资产外溢的担忧。政策落地效果取决于利益分配机制设计，预计后续将出台配套的数据定价与收益共享指引。</w:t>
      </w:r>
    </w:p>
    <w:p>
      <w:r>
        <w:rPr>
          <w:b/>
          <w:color w:val="5B6DE4"/>
        </w:rPr>
        <w:t xml:space="preserve">⑤  </w:t>
      </w:r>
      <w:r>
        <w:t>趋势5（安全合规）：网信办6月18日系列解读中反复强调“风险评估”是数据安全治理的核心抓手，这与2025年《网络数据安全管理条例》确立的“风险导向”原则一脉相承。值得注意的是，解读文件将“风险评估”与“跨境数据流动”挂钩，暗示未来数据出境安全评估可能进一步收紧。企业需建立常态化风险自评估机制，而非仅依赖年度合规检查。</w:t>
      </w:r>
    </w:p>
    <w:p>
      <w:r>
        <w:rPr>
          <w:b/>
          <w:color w:val="5B6DE4"/>
        </w:rPr>
        <w:t xml:space="preserve">⑥  </w:t>
      </w:r>
      <w:r>
        <w:t>趋势6（国际比较）：中国2026年6月密集出台AI与数据政策，与欧盟AI法案（2026年1月生效）、美国AI行政令（2026年3月）形成全球三大治理模式。中国侧重“产业促进+安全监管”双轮驱动，欧盟强调“风险分级+人权保护”，美国聚焦“联邦标准+行业自律”。中国模式在推动技术落地方面效率更高，但面临国际规则兼容性挑战，尤其在数据跨境领域，需警惕与欧盟GDPR的冲突风险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