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生成日期：2026-08-03　　数据 · 算力 · 信息化</w:t>
      </w:r>
    </w:p>
    <w:p/>
    <w:p>
      <w:pPr>
        <w:pStyle w:val="Heading1"/>
      </w:pPr>
      <w:r>
        <w:rPr>
          <w:color w:val="5B6DE4"/>
          <w:sz w:val="28"/>
        </w:rPr>
        <w:t>一、过去 24 小时关键政策</w:t>
      </w:r>
    </w:p>
    <w:p>
      <w:r>
        <w:rPr>
          <w:b/>
          <w:sz w:val="24"/>
        </w:rPr>
        <w:t>《8月新规来了：涉及就业、环保、数据安全等》</w:t>
      </w:r>
    </w:p>
    <w:p>
      <w:r>
        <w:rPr>
          <w:color w:val="646464"/>
          <w:sz w:val="20"/>
        </w:rPr>
        <w:t>文　　号：暂无</w:t>
        <w:br/>
        <w:t>发文机关：中国网/中国发展门户网</w:t>
        <w:br/>
        <w:t>发文日期：2026-07-30</w:t>
        <w:br/>
        <w:t>原文链接：http://cn.chinagate.cn/news/2026-07/30/content_118625098.shtml</w:t>
      </w:r>
    </w:p>
    <w:p>
      <w:pPr>
        <w:ind w:left="240"/>
      </w:pPr>
      <w:r>
        <w:t>8月起一批新规施行，涵盖就业、环保、数据安全等领域。</w:t>
      </w:r>
    </w:p>
    <w:p>
      <w:pPr>
        <w:spacing w:before="0" w:after="80"/>
        <w:pBdr>
          <w:bottom w:val="single" w:sz="4" w:space="1" w:color="DDDDDD"/>
        </w:pBdr>
      </w:pPr>
    </w:p>
    <w:p/>
    <w:p>
      <w:pPr>
        <w:pStyle w:val="Heading1"/>
      </w:pPr>
      <w:r>
        <w:rPr>
          <w:color w:val="5B6DE4"/>
          <w:sz w:val="28"/>
        </w:rPr>
        <w:t>二、过去一个月主要政策动向</w:t>
      </w:r>
    </w:p>
    <w:p>
      <w:r>
        <w:rPr>
          <w:b/>
          <w:sz w:val="24"/>
        </w:rPr>
        <w:t>《网络数据安全风险评估办法》</w:t>
      </w:r>
    </w:p>
    <w:p>
      <w:r>
        <w:rPr>
          <w:color w:val="646464"/>
          <w:sz w:val="20"/>
        </w:rPr>
        <w:t>文　　号：暂无</w:t>
        <w:br/>
        <w:t>发文机关：国家网信办等三部门</w:t>
        <w:br/>
        <w:t>发文日期：2026-06-18</w:t>
        <w:br/>
        <w:t>原文链接：https://www.cac.gov.cn/wxzw/wxfb/A093702index_1.htm</w:t>
      </w:r>
    </w:p>
    <w:p>
      <w:pPr>
        <w:ind w:left="240"/>
      </w:pPr>
      <w:r>
        <w:t>国家网信办等三部门联合公布《网络数据安全风险评估办法》。</w:t>
      </w:r>
    </w:p>
    <w:p>
      <w:pPr>
        <w:spacing w:before="0" w:after="80"/>
        <w:pBdr>
          <w:bottom w:val="single" w:sz="4" w:space="1" w:color="DDDDDD"/>
        </w:pBdr>
      </w:pPr>
    </w:p>
    <w:p>
      <w:r>
        <w:rPr>
          <w:b/>
          <w:sz w:val="24"/>
        </w:rPr>
        <w:t>《“人工智能+信息通信”创新发展实施意见（2026—2028年）》</w:t>
      </w:r>
    </w:p>
    <w:p>
      <w:r>
        <w:rPr>
          <w:color w:val="646464"/>
          <w:sz w:val="20"/>
        </w:rPr>
        <w:t>文　　号：暂无</w:t>
        <w:br/>
        <w:t>发文机关：工业和信息化部</w:t>
        <w:br/>
        <w:t>发文日期：2026-06-12</w:t>
        <w:br/>
        <w:t>原文链接：https://www.hbqj.gov.cn/sjjhxxhj/zfxxgk/zc/bbmwj/202606/t20260612_5957098.html</w:t>
      </w:r>
    </w:p>
    <w:p>
      <w:pPr>
        <w:ind w:left="240"/>
      </w:pPr>
      <w:r>
        <w:t>工信部印发意见，构建“枢纽—区域—边缘”三级算力设施体系。</w:t>
      </w:r>
    </w:p>
    <w:p>
      <w:pPr>
        <w:spacing w:before="0" w:after="80"/>
        <w:pBdr>
          <w:bottom w:val="single" w:sz="4" w:space="1" w:color="DDDDDD"/>
        </w:pBdr>
      </w:pPr>
    </w:p>
    <w:p>
      <w:r>
        <w:rPr>
          <w:b/>
          <w:sz w:val="24"/>
        </w:rPr>
        <w:t>《关于发布生成式人工智能服务已备案信息的公告（2026年5月至6月）》</w:t>
      </w:r>
    </w:p>
    <w:p>
      <w:r>
        <w:rPr>
          <w:color w:val="646464"/>
          <w:sz w:val="20"/>
        </w:rPr>
        <w:t>文　　号：暂无</w:t>
        <w:br/>
        <w:t>发文机关：国家互联网信息办公室</w:t>
        <w:br/>
        <w:t>发文日期：2026-07-15</w:t>
        <w:br/>
        <w:t>原文链接：https://www.cac.gov.cn/wxzw/wxfb/A093702index_1.htm</w:t>
      </w:r>
    </w:p>
    <w:p>
      <w:pPr>
        <w:ind w:left="240"/>
      </w:pPr>
      <w:r>
        <w:t>网信办发布2026年5-6月生成式AI服务已备案信息公告。</w:t>
      </w:r>
    </w:p>
    <w:p>
      <w:pPr>
        <w:spacing w:before="0" w:after="80"/>
        <w:pBdr>
          <w:bottom w:val="single" w:sz="4" w:space="1" w:color="DDDDDD"/>
        </w:pBdr>
      </w:pPr>
    </w:p>
    <w:p>
      <w:r>
        <w:rPr>
          <w:b/>
          <w:sz w:val="24"/>
        </w:rPr>
        <w:t>《关于印发《实施网络安全标识的产品目录（第一批）》及相关实施规则的通知》</w:t>
      </w:r>
    </w:p>
    <w:p>
      <w:r>
        <w:rPr>
          <w:color w:val="646464"/>
          <w:sz w:val="20"/>
        </w:rPr>
        <w:t>文　　号：暂无</w:t>
        <w:br/>
        <w:t>发文机关：国家互联网信息办公室</w:t>
        <w:br/>
        <w:t>发文日期：2026-07-06</w:t>
        <w:br/>
        <w:t>原文链接：https://www.cac.gov.cn/wxzw/wxfb/A093702index_1.htm</w:t>
      </w:r>
    </w:p>
    <w:p>
      <w:pPr>
        <w:ind w:left="240"/>
      </w:pPr>
      <w:r>
        <w:t>网信办印发网络安全标识产品目录（第一批）及实施规则。</w:t>
      </w:r>
    </w:p>
    <w:p>
      <w:pPr>
        <w:spacing w:before="0" w:after="80"/>
        <w:pBdr>
          <w:bottom w:val="single" w:sz="4" w:space="1" w:color="DDDDDD"/>
        </w:pBdr>
      </w:pPr>
    </w:p>
    <w:p>
      <w:r>
        <w:rPr>
          <w:b/>
          <w:sz w:val="24"/>
        </w:rPr>
        <w:t>《广西2026年“人工智能+电竞创新应用大赛”启动》</w:t>
      </w:r>
    </w:p>
    <w:p>
      <w:r>
        <w:rPr>
          <w:color w:val="646464"/>
          <w:sz w:val="20"/>
        </w:rPr>
        <w:t>文　　号：暂无</w:t>
        <w:br/>
        <w:t>发文机关：广西壮族自治区大数据发展局</w:t>
        <w:br/>
        <w:t>发文日期：2026-07-15</w:t>
      </w:r>
    </w:p>
    <w:p>
      <w:pPr>
        <w:ind w:left="240"/>
      </w:pPr>
      <w:r>
        <w:t>广西大数据发展局启动2026年“人工智能+电竞”创新应用大赛。</w:t>
      </w:r>
    </w:p>
    <w:p>
      <w:pPr>
        <w:spacing w:before="0" w:after="80"/>
        <w:pBdr>
          <w:bottom w:val="single" w:sz="4" w:space="1" w:color="DDDDDD"/>
        </w:pBdr>
      </w:pPr>
    </w:p>
    <w:p/>
    <w:p>
      <w:pPr>
        <w:pStyle w:val="Heading1"/>
      </w:pPr>
      <w:r>
        <w:rPr>
          <w:color w:val="5B6DE4"/>
          <w:sz w:val="28"/>
        </w:rPr>
        <w:t>三、今年以来主要政策</w:t>
      </w:r>
    </w:p>
    <w:p>
      <w:r>
        <w:rPr>
          <w:b/>
          <w:sz w:val="24"/>
        </w:rPr>
        <w:t>《汽车数据出境安全指引（2026版）》</w:t>
      </w:r>
    </w:p>
    <w:p>
      <w:r>
        <w:rPr>
          <w:color w:val="646464"/>
          <w:sz w:val="20"/>
        </w:rPr>
        <w:t>文　　号：工信部联网安﹝2026﹞27号</w:t>
        <w:br/>
        <w:t>发文机关：工业和信息化部等八部门</w:t>
        <w:br/>
        <w:t>发文日期：2026-02-03</w:t>
        <w:br/>
        <w:t>原文链接：https://gyxxh.tj.gov.cn/ZWGK4147/ZCWJ6355/gjjwj/202602/t20260203_7238779.html</w:t>
      </w:r>
    </w:p>
    <w:p>
      <w:pPr>
        <w:ind w:left="240"/>
      </w:pPr>
      <w:r>
        <w:t>八部门联合印发，推动建立高效便利安全的汽车数据跨境流动机制。</w:t>
      </w:r>
    </w:p>
    <w:p>
      <w:pPr>
        <w:spacing w:before="0" w:after="80"/>
        <w:pBdr>
          <w:bottom w:val="single" w:sz="4" w:space="1" w:color="DDDDDD"/>
        </w:pBdr>
      </w:pPr>
    </w:p>
    <w:p>
      <w:r>
        <w:rPr>
          <w:b/>
          <w:sz w:val="24"/>
        </w:rPr>
        <w:t>《全国数据工作会议：明确2026年八方面重点任务》</w:t>
      </w:r>
    </w:p>
    <w:p>
      <w:r>
        <w:rPr>
          <w:color w:val="646464"/>
          <w:sz w:val="20"/>
        </w:rPr>
        <w:t>文　　号：暂无</w:t>
        <w:br/>
        <w:t>发文机关：国家数据局</w:t>
        <w:br/>
        <w:t>发文日期：2026-01-02</w:t>
      </w:r>
    </w:p>
    <w:p>
      <w:pPr>
        <w:ind w:left="240"/>
      </w:pPr>
      <w:r>
        <w:t>2026年为“数据要素价值释放年”，部署8方面重点工作。</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国家数据局将2026年定为“数据要素价值释放年”，并印发《2026年数字经济发展工作要点》，明确加快建立全国统一数据产权登记制度、推动公共数据授权运营价格形成机制。这一系列动作表明，数据要素市场化已从顶层设计进入落地攻坚期。下一步，预计将出台全国一体化数据市场相关政策文件，数据产权登记、定价、交易等基础制度将加速完善，数据资产入表或将在更多企业铺开。</w:t>
      </w:r>
    </w:p>
    <w:p>
      <w:r>
        <w:rPr>
          <w:b/>
          <w:color w:val="5B6DE4"/>
        </w:rPr>
        <w:t xml:space="preserve">②  </w:t>
      </w:r>
      <w:r>
        <w:t>趋势2（技术路线）：工信部《“人工智能+信息通信”创新发展实施意见（2026—2028年）》提出构建“枢纽—区域—边缘”三级节点协同的算力设施体系，并建立统一算力标识体系。这标志着我国算力布局从“东数西算”的宏观骨架向精细化、一体化演进。算力标识体系将实现全国算力资源的统一调度与监测，为算力并网、交易奠定技术基础。预计下一步将出台算力互联互通相关技术标准，推动算力像水电一样即取即用。</w:t>
      </w:r>
    </w:p>
    <w:p>
      <w:r>
        <w:rPr>
          <w:b/>
          <w:color w:val="5B6DE4"/>
        </w:rPr>
        <w:t xml:space="preserve">③  </w:t>
      </w:r>
      <w:r>
        <w:t>趋势3（区域格局）：地方层面呈现“算力补贴+场景落地”双轮驱动模式。苏州对智算租用费给予30%补贴（最高200万元），浙江发放人工智能券（算力券），广西则聚焦“北上广研发+广西集成+东盟应用”路径。这表明各地正结合自身禀赋差异化竞争：东部侧重降低用算成本、吸引企业，西部侧重面向东盟的国际化应用。但需警惕重复建设风险，建议地方补贴政策与国家算力枢纽布局做好衔接。</w:t>
      </w:r>
    </w:p>
    <w:p>
      <w:r>
        <w:rPr>
          <w:b/>
          <w:color w:val="5B6DE4"/>
        </w:rPr>
        <w:t xml:space="preserve">④  </w:t>
      </w:r>
      <w:r>
        <w:t>趋势4（产业影响）：工信部开展“普惠算力赋能中小企业发展专项行动”，叠加2026年第一批行业标准制修订计划中多项AI大模型标准（如大模型交付实施技术要求、迁移适配工具链能力要求），政策正从“给补贴”转向“建生态”。通过标准化降低中小企业采用AI的门槛，同时以普惠算力解决成本痛点。预计下半年将有一批大模型交付、评估、迁移的国家标准出台，AI应用将从“能用”走向“好用”。</w:t>
      </w:r>
    </w:p>
    <w:p>
      <w:r>
        <w:rPr>
          <w:b/>
          <w:color w:val="5B6DE4"/>
        </w:rPr>
        <w:t xml:space="preserve">⑤  </w:t>
      </w:r>
      <w:r>
        <w:t>趋势5（安全合规）：数据安全监管持续细化。继《网络数据安全风险评估办法》后，八部门联合发布《汽车数据出境安全指引（2026版）》，针对特定行业的数据跨境流动建立专门机制。同时，网信办发布网络安全标识产品目录（第一批），推动安全产品标准化。监管思路已从“一刀切”转向“分行业、分场景”精准治理。汽车、金融、医疗等行业的数据出境细则预计将陆续出台，企业需提前建立合规体系。</w:t>
      </w:r>
    </w:p>
    <w:p>
      <w:r>
        <w:rPr>
          <w:b/>
          <w:color w:val="5B6DE4"/>
        </w:rPr>
        <w:t xml:space="preserve">⑥  </w:t>
      </w:r>
      <w:r>
        <w:t>趋势6（国际比较）：中国在算力基础设施与数据要素市场化方面推进力度显著强于日美欧。日本数字厅侧重政务数字化与个人信息保护（APPI修订），欧盟聚焦AI Act分级监管与GDPR执法，美国则通过行政令推动联邦机构AI应用与安全评估。中国以“数据要素+算力网+AI+”三位一体推进，更强调基础设施的公共属性与产业赋能。相比之下，欧盟重“规制”、美国重“创新”、日本重“民生”，中国模式的优势在于规模化落地效率，但需关注数据跨境流动规则与欧盟GDPR的兼容性问题。</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