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生成日期：2026-09-19　　数据 · 算力 · 信息化</w:t>
      </w:r>
    </w:p>
    <w:p/>
    <w:p>
      <w:pPr>
        <w:pStyle w:val="Heading1"/>
      </w:pPr>
      <w:r>
        <w:rPr>
          <w:color w:val="5B6DE4"/>
          <w:sz w:val="28"/>
        </w:rPr>
        <w:t>一、过去 24 小时关键政策</w:t>
      </w:r>
    </w:p>
    <w:p>
      <w:r>
        <w:rPr>
          <w:b/>
          <w:sz w:val="24"/>
        </w:rPr>
        <w:t>《数字乡村高质量发展行动计划（2026—2030年）》</w:t>
      </w:r>
    </w:p>
    <w:p>
      <w:r>
        <w:rPr>
          <w:color w:val="646464"/>
          <w:sz w:val="20"/>
        </w:rPr>
        <w:t>文　　号：暂无</w:t>
        <w:br/>
        <w:t>发文机关：中央网信办等</w:t>
        <w:br/>
        <w:t>发文日期：2026-09-11</w:t>
        <w:br/>
        <w:t>原文链接：https://www.cac.gov.cn/wxzw/zcfg/A093703index_1.htm</w:t>
      </w:r>
    </w:p>
    <w:p>
      <w:pPr>
        <w:ind w:left="240"/>
      </w:pPr>
      <w:r>
        <w:t>部署数字乡村基础设施、数据要素与数字治理，推动城乡数字化协同发展。</w:t>
      </w:r>
    </w:p>
    <w:p>
      <w:pPr>
        <w:spacing w:before="0" w:after="80"/>
        <w:pBdr>
          <w:bottom w:val="single" w:sz="4" w:space="1" w:color="DDDDDD"/>
        </w:pBdr>
      </w:pPr>
    </w:p>
    <w:p>
      <w:r>
        <w:rPr>
          <w:b/>
          <w:sz w:val="24"/>
        </w:rPr>
        <w:t>《2026年国家网络安全宣传周网络安全技术高峰论坛在济南举行》</w:t>
      </w:r>
    </w:p>
    <w:p>
      <w:r>
        <w:rPr>
          <w:color w:val="646464"/>
          <w:sz w:val="20"/>
        </w:rPr>
        <w:t>文　　号：暂无</w:t>
        <w:br/>
        <w:t>发文机关：中央网信办</w:t>
        <w:br/>
        <w:t>发文日期：2026-09-14</w:t>
        <w:br/>
        <w:t>原文链接：https://wap.cac.gov.cn/phoneindex.htm?defaultIndex=1</w:t>
      </w:r>
    </w:p>
    <w:p>
      <w:pPr>
        <w:ind w:left="240"/>
      </w:pPr>
      <w:r>
        <w:t>聚焦网络安全技术、数据安全治理与人才培养，发布近期网络安全工作部署。</w:t>
      </w:r>
    </w:p>
    <w:p>
      <w:pPr>
        <w:spacing w:before="0" w:after="80"/>
        <w:pBdr>
          <w:bottom w:val="single" w:sz="4" w:space="1" w:color="DDDDDD"/>
        </w:pBdr>
      </w:pPr>
    </w:p>
    <w:p>
      <w:r>
        <w:rPr>
          <w:b/>
          <w:sz w:val="24"/>
        </w:rPr>
        <w:t>《国家网信办发布近期网络安全、数据安全相关通报》</w:t>
      </w:r>
    </w:p>
    <w:p>
      <w:r>
        <w:rPr>
          <w:color w:val="646464"/>
          <w:sz w:val="20"/>
        </w:rPr>
        <w:t>文　　号：暂无</w:t>
        <w:br/>
        <w:t>发文机关：国家互联网信息办公室</w:t>
        <w:br/>
        <w:t>发文日期：2026-09-15</w:t>
        <w:br/>
        <w:t>原文链接：https://wap.cac.gov.cn/phoneindex.htm?defaultIndex=1</w:t>
      </w:r>
    </w:p>
    <w:p>
      <w:pPr>
        <w:ind w:left="240"/>
      </w:pPr>
      <w:r>
        <w:t>通报近期网络安全与数据安全风险，督促平台企业落实主体责任。</w:t>
      </w:r>
    </w:p>
    <w:p>
      <w:pPr>
        <w:spacing w:before="0" w:after="80"/>
        <w:pBdr>
          <w:bottom w:val="single" w:sz="4" w:space="1" w:color="DDDDDD"/>
        </w:pBdr>
      </w:pPr>
    </w:p>
    <w:p>
      <w:r>
        <w:rPr>
          <w:b/>
          <w:sz w:val="24"/>
        </w:rPr>
        <w:t>《专家解读：高质量推进数字乡村建设》</w:t>
      </w:r>
    </w:p>
    <w:p>
      <w:r>
        <w:rPr>
          <w:color w:val="646464"/>
          <w:sz w:val="20"/>
        </w:rPr>
        <w:t>文　　号：暂无</w:t>
        <w:br/>
        <w:t>发文机关：中央网信办</w:t>
        <w:br/>
        <w:t>发文日期：2026-09-11</w:t>
        <w:br/>
        <w:t>原文链接：https://www.cac.gov.cn/wxzw/zcfg/A093703index_1.htm</w:t>
      </w:r>
    </w:p>
    <w:p>
      <w:pPr>
        <w:ind w:left="240"/>
      </w:pPr>
      <w:r>
        <w:t>解读数字乡村行动计划，强调数据赋能农业与农村治理现代化。</w:t>
      </w:r>
    </w:p>
    <w:p>
      <w:pPr>
        <w:spacing w:before="0" w:after="80"/>
        <w:pBdr>
          <w:bottom w:val="single" w:sz="4" w:space="1" w:color="DDDDDD"/>
        </w:pBdr>
      </w:pPr>
    </w:p>
    <w:p>
      <w:r>
        <w:rPr>
          <w:b/>
          <w:sz w:val="24"/>
        </w:rPr>
        <w:t>《工业和信息化部等九部门关于印发智能网联新能源汽车产业发展“十五五”规划的通知》</w:t>
      </w:r>
    </w:p>
    <w:p>
      <w:r>
        <w:rPr>
          <w:color w:val="646464"/>
          <w:sz w:val="20"/>
        </w:rPr>
        <w:t>文　　号：暂无</w:t>
        <w:br/>
        <w:t>发文机关：工业和信息化部等九部门</w:t>
        <w:br/>
        <w:t>发文日期：2026-09-11</w:t>
        <w:br/>
        <w:t>原文链接：https://www.miit.gov.cn/</w:t>
      </w:r>
    </w:p>
    <w:p>
      <w:pPr>
        <w:ind w:left="240"/>
      </w:pPr>
      <w:r>
        <w:t>部署智能网联新能源汽车产业，涉及车路云一体化与数据安全要求。</w:t>
      </w:r>
    </w:p>
    <w:p>
      <w:pPr>
        <w:spacing w:before="0" w:after="80"/>
        <w:pBdr>
          <w:bottom w:val="single" w:sz="4" w:space="1" w:color="DDDDDD"/>
        </w:pBdr>
      </w:pPr>
    </w:p>
    <w:p/>
    <w:p>
      <w:pPr>
        <w:pStyle w:val="Heading1"/>
      </w:pPr>
      <w:r>
        <w:rPr>
          <w:color w:val="5B6DE4"/>
          <w:sz w:val="28"/>
        </w:rPr>
        <w:t>二、过去一个月主要政策动向</w:t>
      </w:r>
    </w:p>
    <w:p>
      <w:r>
        <w:rPr>
          <w:b/>
          <w:sz w:val="24"/>
        </w:rPr>
        <w:t>《“人工智能+软件”专项行动实施方案》</w:t>
      </w:r>
    </w:p>
    <w:p>
      <w:r>
        <w:rPr>
          <w:color w:val="646464"/>
          <w:sz w:val="20"/>
        </w:rPr>
        <w:t>文　　号：工信部信发〔2026〕209号</w:t>
        <w:br/>
        <w:t>发文机关：工业和信息化部</w:t>
        <w:br/>
        <w:t>发文日期：2026-09-02</w:t>
        <w:br/>
        <w:t>原文链接：https://www.miit.gov.cn/</w:t>
      </w:r>
    </w:p>
    <w:p>
      <w:pPr>
        <w:ind w:left="240"/>
      </w:pPr>
      <w:r>
        <w:t>推动人工智能与软件产业深度融合，培育智能软件新业态与新模式。</w:t>
      </w:r>
    </w:p>
    <w:p>
      <w:pPr>
        <w:spacing w:before="0" w:after="80"/>
        <w:pBdr>
          <w:bottom w:val="single" w:sz="4" w:space="1" w:color="DDDDDD"/>
        </w:pBdr>
      </w:pPr>
    </w:p>
    <w:p>
      <w:r>
        <w:rPr>
          <w:b/>
          <w:sz w:val="24"/>
        </w:rPr>
        <w:t>《国家信息化发展报告（2025年）》</w:t>
      </w:r>
    </w:p>
    <w:p>
      <w:r>
        <w:rPr>
          <w:color w:val="646464"/>
          <w:sz w:val="20"/>
        </w:rPr>
        <w:t>文　　号：暂无</w:t>
        <w:br/>
        <w:t>发文机关：国家互联网信息办公室</w:t>
        <w:br/>
        <w:t>发文日期：2026-08-07</w:t>
        <w:br/>
        <w:t>原文链接：https://www.cac.gov.cn/wxzw/wxfb/A093702index_1.htm</w:t>
      </w:r>
    </w:p>
    <w:p>
      <w:pPr>
        <w:ind w:left="240"/>
      </w:pPr>
      <w:r>
        <w:t>总结2025年信息化发展成效，部署数字中国与数据要素市场建设任务。</w:t>
      </w:r>
    </w:p>
    <w:p>
      <w:pPr>
        <w:spacing w:before="0" w:after="80"/>
        <w:pBdr>
          <w:bottom w:val="single" w:sz="4" w:space="1" w:color="DDDDDD"/>
        </w:pBdr>
      </w:pPr>
    </w:p>
    <w:p>
      <w:r>
        <w:rPr>
          <w:b/>
          <w:sz w:val="24"/>
        </w:rPr>
        <w:t>《小型个人信息处理者个人信息保护简化措施规定》</w:t>
      </w:r>
    </w:p>
    <w:p>
      <w:r>
        <w:rPr>
          <w:color w:val="646464"/>
          <w:sz w:val="20"/>
        </w:rPr>
        <w:t>文　　号：暂无</w:t>
        <w:br/>
        <w:t>发文机关：国家网信办、公安部</w:t>
        <w:br/>
        <w:t>发文日期：2026-07-24</w:t>
        <w:br/>
        <w:t>原文链接：https://www.cac.gov.cn/wxzw/wxfb/A093702index_1.htm</w:t>
      </w:r>
    </w:p>
    <w:p>
      <w:pPr>
        <w:ind w:left="240"/>
      </w:pPr>
      <w:r>
        <w:t>对小型个人信息处理者实行简化合规措施，降低中小主体合规成本。</w:t>
      </w:r>
    </w:p>
    <w:p>
      <w:pPr>
        <w:spacing w:before="0" w:after="80"/>
        <w:pBdr>
          <w:bottom w:val="single" w:sz="4" w:space="1" w:color="DDDDDD"/>
        </w:pBdr>
      </w:pPr>
    </w:p>
    <w:p>
      <w:r>
        <w:rPr>
          <w:b/>
          <w:sz w:val="24"/>
        </w:rPr>
        <w:t>《专家解读：坚持智能化、绿色化、融合化方向纵深推进数字化绿色化协同转型发展》</w:t>
      </w:r>
    </w:p>
    <w:p>
      <w:r>
        <w:rPr>
          <w:color w:val="646464"/>
          <w:sz w:val="20"/>
        </w:rPr>
        <w:t>文　　号：暂无</w:t>
        <w:br/>
        <w:t>发文机关：中央网信办</w:t>
        <w:br/>
        <w:t>发文日期：2026-09-04</w:t>
        <w:br/>
        <w:t>原文链接：https://www.cac.gov.cn/wxzw/zcfg/A093703index_1.htm</w:t>
      </w:r>
    </w:p>
    <w:p>
      <w:pPr>
        <w:ind w:left="240"/>
      </w:pPr>
      <w:r>
        <w:t>阐释数字化与绿色化协同转型路径，涉及算力能效与数据中心绿色发展。</w:t>
      </w:r>
    </w:p>
    <w:p>
      <w:pPr>
        <w:spacing w:before="0" w:after="80"/>
        <w:pBdr>
          <w:bottom w:val="single" w:sz="4" w:space="1" w:color="DDDDDD"/>
        </w:pBdr>
      </w:pPr>
    </w:p>
    <w:p>
      <w:r>
        <w:rPr>
          <w:b/>
          <w:sz w:val="24"/>
        </w:rPr>
        <w:t>《数据出境安全管理政策法规问答（2026年7月）》</w:t>
      </w:r>
    </w:p>
    <w:p>
      <w:r>
        <w:rPr>
          <w:color w:val="646464"/>
          <w:sz w:val="20"/>
        </w:rPr>
        <w:t>文　　号：暂无</w:t>
        <w:br/>
        <w:t>发文机关：国家互联网信息办公室</w:t>
        <w:br/>
        <w:t>发文日期：2026-07-24</w:t>
        <w:br/>
        <w:t>原文链接：https://www.cac.gov.cn/</w:t>
      </w:r>
    </w:p>
    <w:p>
      <w:pPr>
        <w:ind w:left="240"/>
      </w:pPr>
      <w:r>
        <w:t>以问答形式明确数据出境安全评估、标准合同与认证的适用规则。</w:t>
      </w:r>
    </w:p>
    <w:p>
      <w:pPr>
        <w:spacing w:before="0" w:after="80"/>
        <w:pBdr>
          <w:bottom w:val="single" w:sz="4" w:space="1" w:color="DDDDDD"/>
        </w:pBdr>
      </w:pPr>
    </w:p>
    <w:p>
      <w:r>
        <w:rPr>
          <w:b/>
          <w:sz w:val="24"/>
        </w:rPr>
        <w:t>《深化互联网协议第六版（IPv6）技术创新和融合应用实施方案（2026—2030年）》</w:t>
      </w:r>
    </w:p>
    <w:p>
      <w:r>
        <w:rPr>
          <w:color w:val="646464"/>
          <w:sz w:val="20"/>
        </w:rPr>
        <w:t>文　　号：暂无</w:t>
        <w:br/>
        <w:t>发文机关：中央网信办等</w:t>
        <w:br/>
        <w:t>发文日期：2026-07-21</w:t>
        <w:br/>
        <w:t>原文链接：https://www.cac.gov.cn/</w:t>
      </w:r>
    </w:p>
    <w:p>
      <w:pPr>
        <w:ind w:left="240"/>
      </w:pPr>
      <w:r>
        <w:t>推动IPv6规模部署与技术创新，支撑算力网络与数字基础设施升级。</w:t>
      </w:r>
    </w:p>
    <w:p>
      <w:pPr>
        <w:spacing w:before="0" w:after="80"/>
        <w:pBdr>
          <w:bottom w:val="single" w:sz="4" w:space="1" w:color="DDDDDD"/>
        </w:pBdr>
      </w:pPr>
    </w:p>
    <w:p/>
    <w:p>
      <w:pPr>
        <w:pStyle w:val="Heading1"/>
      </w:pPr>
      <w:r>
        <w:rPr>
          <w:color w:val="5B6DE4"/>
          <w:sz w:val="28"/>
        </w:rPr>
        <w:t>三、今年以来主要政策</w:t>
      </w:r>
    </w:p>
    <w:p>
      <w:r>
        <w:rPr>
          <w:b/>
          <w:sz w:val="24"/>
        </w:rPr>
        <w:t>《关于深入实施“东数西算”工程加快构建全国一体化算力网的实施意见》</w:t>
      </w:r>
    </w:p>
    <w:p>
      <w:r>
        <w:rPr>
          <w:color w:val="646464"/>
          <w:sz w:val="20"/>
        </w:rPr>
        <w:t>文　　号：暂无</w:t>
        <w:br/>
        <w:t>发文机关：国家发展改革委等</w:t>
        <w:br/>
        <w:t>发文日期：2026-01-15</w:t>
      </w:r>
    </w:p>
    <w:p>
      <w:pPr>
        <w:ind w:left="240"/>
      </w:pPr>
      <w:r>
        <w:t>部署全国一体化算力网建设，优化算力枢纽布局与跨区域调度机制。</w:t>
      </w:r>
    </w:p>
    <w:p>
      <w:pPr>
        <w:spacing w:before="0" w:after="80"/>
        <w:pBdr>
          <w:bottom w:val="single" w:sz="4" w:space="1" w:color="DDDDDD"/>
        </w:pBdr>
      </w:pPr>
    </w:p>
    <w:p>
      <w:r>
        <w:rPr>
          <w:b/>
          <w:sz w:val="24"/>
        </w:rPr>
        <w:t>《辽宁省数字经济发展规划（2026—2030年）》</w:t>
      </w:r>
    </w:p>
    <w:p>
      <w:r>
        <w:rPr>
          <w:color w:val="646464"/>
          <w:sz w:val="20"/>
        </w:rPr>
        <w:t>文　　号：暂无</w:t>
        <w:br/>
        <w:t>发文机关：辽宁省人民政府</w:t>
        <w:br/>
        <w:t>发文日期：2026-03-10</w:t>
      </w:r>
    </w:p>
    <w:p>
      <w:pPr>
        <w:ind w:left="240"/>
      </w:pPr>
      <w:r>
        <w:t>部署辽宁数字经济与工业互联网发展，推动老工业基地数字化转型。</w:t>
      </w:r>
    </w:p>
    <w:p>
      <w:pPr>
        <w:spacing w:before="0" w:after="80"/>
        <w:pBdr>
          <w:bottom w:val="single" w:sz="4" w:space="1" w:color="DDDDDD"/>
        </w:pBdr>
      </w:pPr>
    </w:p>
    <w:p>
      <w:r>
        <w:rPr>
          <w:b/>
          <w:sz w:val="24"/>
        </w:rPr>
        <w:t>《江苏省数据条例》</w:t>
      </w:r>
    </w:p>
    <w:p>
      <w:r>
        <w:rPr>
          <w:color w:val="646464"/>
          <w:sz w:val="20"/>
        </w:rPr>
        <w:t>文　　号：暂无</w:t>
        <w:br/>
        <w:t>发文机关：江苏省人大常委会</w:t>
        <w:br/>
        <w:t>发文日期：2026-01-20</w:t>
      </w:r>
    </w:p>
    <w:p>
      <w:pPr>
        <w:ind w:left="240"/>
      </w:pPr>
      <w:r>
        <w:t>规范数据资源管理、流通交易与安全保护，促进数据要素市场化配置。</w:t>
      </w:r>
    </w:p>
    <w:p>
      <w:pPr>
        <w:spacing w:before="0" w:after="80"/>
        <w:pBdr>
          <w:bottom w:val="single" w:sz="4" w:space="1" w:color="DDDDDD"/>
        </w:pBdr>
      </w:pPr>
    </w:p>
    <w:p>
      <w:r>
        <w:rPr>
          <w:b/>
          <w:sz w:val="24"/>
        </w:rPr>
        <w:t>《上海市促进人工智能产业发展条例》</w:t>
      </w:r>
    </w:p>
    <w:p>
      <w:r>
        <w:rPr>
          <w:color w:val="646464"/>
          <w:sz w:val="20"/>
        </w:rPr>
        <w:t>文　　号：暂无</w:t>
        <w:br/>
        <w:t>发文机关：上海市人大常委会</w:t>
        <w:br/>
        <w:t>发文日期：2026-02-25</w:t>
      </w:r>
    </w:p>
    <w:p>
      <w:pPr>
        <w:ind w:left="240"/>
      </w:pPr>
      <w:r>
        <w:t>促进人工智能产业创新，规范算法治理、数据使用与伦理审查机制。</w:t>
      </w:r>
    </w:p>
    <w:p>
      <w:pPr>
        <w:spacing w:before="0" w:after="80"/>
        <w:pBdr>
          <w:bottom w:val="single" w:sz="4" w:space="1" w:color="DDDDDD"/>
        </w:pBdr>
      </w:pPr>
    </w:p>
    <w:p>
      <w:r>
        <w:rPr>
          <w:b/>
          <w:sz w:val="24"/>
        </w:rPr>
        <w:t>《广东省数据要素市场化配置改革行动方案》</w:t>
      </w:r>
    </w:p>
    <w:p>
      <w:r>
        <w:rPr>
          <w:color w:val="646464"/>
          <w:sz w:val="20"/>
        </w:rPr>
        <w:t>文　　号：暂无</w:t>
        <w:br/>
        <w:t>发文机关：广东省人民政府</w:t>
        <w:br/>
        <w:t>发文日期：2026-04-08</w:t>
      </w:r>
    </w:p>
    <w:p>
      <w:pPr>
        <w:ind w:left="240"/>
      </w:pPr>
      <w:r>
        <w:t>推进数据要素市场化配置改革，建设数据交易场所与合规流通体系。</w:t>
      </w:r>
    </w:p>
    <w:p>
      <w:pPr>
        <w:spacing w:before="0" w:after="80"/>
        <w:pBdr>
          <w:bottom w:val="single" w:sz="4" w:space="1" w:color="DDDDDD"/>
        </w:pBdr>
      </w:pPr>
    </w:p>
    <w:p>
      <w:r>
        <w:rPr>
          <w:b/>
          <w:sz w:val="24"/>
        </w:rPr>
        <w:t>《浙江省数字经济促进条例（修订）》</w:t>
      </w:r>
    </w:p>
    <w:p>
      <w:r>
        <w:rPr>
          <w:color w:val="646464"/>
          <w:sz w:val="20"/>
        </w:rPr>
        <w:t>文　　号：暂无</w:t>
        <w:br/>
        <w:t>发文机关：浙江省人大常委会</w:t>
        <w:br/>
        <w:t>发文日期：2026-05-12</w:t>
      </w:r>
    </w:p>
    <w:p>
      <w:pPr>
        <w:ind w:left="240"/>
      </w:pPr>
      <w:r>
        <w:t>修订数字经济促进条例，强化平台经济治理与数据安全合规要求。</w:t>
      </w:r>
    </w:p>
    <w:p>
      <w:pPr>
        <w:spacing w:before="0" w:after="80"/>
        <w:pBdr>
          <w:bottom w:val="single" w:sz="4" w:space="1" w:color="DDDDDD"/>
        </w:pBdr>
      </w:pPr>
    </w:p>
    <w:p>
      <w:r>
        <w:rPr>
          <w:b/>
          <w:sz w:val="24"/>
        </w:rPr>
        <w:t>《日本人工智能推进法（AI推进法）》</w:t>
      </w:r>
    </w:p>
    <w:p>
      <w:r>
        <w:rPr>
          <w:color w:val="646464"/>
          <w:sz w:val="20"/>
        </w:rPr>
        <w:t>文　　号：暂无</w:t>
        <w:br/>
        <w:t>发文机关：日本国会</w:t>
        <w:br/>
        <w:t>发文日期：2026-05-28</w:t>
      </w:r>
    </w:p>
    <w:p>
      <w:pPr>
        <w:ind w:left="240"/>
      </w:pPr>
      <w:r>
        <w:t>日本首部AI专门法律，确立AI研发利用基本理念与轻量级监管框架。</w:t>
      </w:r>
    </w:p>
    <w:p>
      <w:pPr>
        <w:spacing w:before="0" w:after="80"/>
        <w:pBdr>
          <w:bottom w:val="single" w:sz="4" w:space="1" w:color="DDDDDD"/>
        </w:pBdr>
      </w:pPr>
    </w:p>
    <w:p>
      <w:r>
        <w:rPr>
          <w:b/>
          <w:sz w:val="24"/>
        </w:rPr>
        <w:t>《欧盟人工智能法案（AI Act）通用人工智能模型条款实施指南》</w:t>
      </w:r>
    </w:p>
    <w:p>
      <w:r>
        <w:rPr>
          <w:color w:val="646464"/>
          <w:sz w:val="20"/>
        </w:rPr>
        <w:t>文　　号：暂无</w:t>
        <w:br/>
        <w:t>发文机关：欧盟委员会</w:t>
        <w:br/>
        <w:t>发文日期：2026-08-02</w:t>
      </w:r>
    </w:p>
    <w:p>
      <w:pPr>
        <w:ind w:left="240"/>
      </w:pPr>
      <w:r>
        <w:t>明确通用人工智能模型提供者的透明度、版权与系统性风险评估义务。</w:t>
      </w:r>
    </w:p>
    <w:p>
      <w:pPr>
        <w:spacing w:before="0" w:after="80"/>
        <w:pBdr>
          <w:bottom w:val="single" w:sz="4" w:space="1" w:color="DDDDDD"/>
        </w:pBdr>
      </w:pPr>
    </w:p>
    <w:p>
      <w:r>
        <w:rPr>
          <w:b/>
          <w:sz w:val="24"/>
        </w:rPr>
        <w:t>《美国关于人工智能的国家安全备忘录》</w:t>
      </w:r>
    </w:p>
    <w:p>
      <w:r>
        <w:rPr>
          <w:color w:val="646464"/>
          <w:sz w:val="20"/>
        </w:rPr>
        <w:t>文　　号：暂无</w:t>
        <w:br/>
        <w:t>发文机关：美国白宫</w:t>
        <w:br/>
        <w:t>发文日期：2026-06-15</w:t>
      </w:r>
    </w:p>
    <w:p>
      <w:pPr>
        <w:ind w:left="240"/>
      </w:pPr>
      <w:r>
        <w:t>要求联邦机构推进AI安全测试、算力基础设施与盟友技术合作。</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2026年9月，中央网信办密集发布数字乡村行动计划与数字化绿色化协同转型解读，工信部同期印发“人工智能+软件”专项行动方案。逻辑：政策重心正从单点技术扶持转向“技术—产业—治理”一体化布局，数字乡村与绿色化协同意在拓展数字经济的纵深空间，避免算力与数据资源过度集中于头部城市。研判：预计四季度将出台配套的算力能效标准与乡村数据基础设施指南，地方层面可能出现数字乡村与绿色数据中心捆绑申报的试点，需警惕基层重复建设与数据形式主义。</w:t>
      </w:r>
    </w:p>
    <w:p>
      <w:r>
        <w:rPr>
          <w:b/>
          <w:color w:val="5B6DE4"/>
        </w:rPr>
        <w:t xml:space="preserve">②  </w:t>
      </w:r>
      <w:r>
        <w:t>现象：国家网信办2026年7月公布《人工智能拟人化互动服务管理暂行办法》，8月又发布《国家信息化发展报告（2025年）》，形成“服务规范+发展评估”双轨。逻辑：监管层对生成式AI的治理思路已从“事后处罚”转向“事前标识+过程评估”，拟人化互动服务因涉及情感操纵与未成年人保护成为首个细分监管切口。研判：下一步可能将AI情感陪伴、虚拟数字人直播纳入专项检查，平台需提前建立拟人化服务标识与用户年龄核验机制，否则面临下架风险。</w:t>
      </w:r>
    </w:p>
    <w:p>
      <w:r>
        <w:rPr>
          <w:b/>
          <w:color w:val="5B6DE4"/>
        </w:rPr>
        <w:t xml:space="preserve">③  </w:t>
      </w:r>
      <w:r>
        <w:t>现象：工信部信发〔2026〕209号“人工智能+软件”专项行动与九部门智能网联新能源汽车“十五五”规划在9月接连落地，均强调数据安全与车路云一体化。逻辑：产业政策正将AI能力嵌入具体垂直场景，以“场景牵引”替代“技术堆砌”，同时把数据安全合规作为产业准入的前置条件。研判：智能网联汽车与工业软件将成为AI落地最快的两个赛道，但跨部门数据标准不统一可能拖慢车路云数据互认，建议关注后续车联网数据分类分级细则的出台节奏。</w:t>
      </w:r>
    </w:p>
    <w:p>
      <w:r>
        <w:rPr>
          <w:b/>
          <w:color w:val="5B6DE4"/>
        </w:rPr>
        <w:t xml:space="preserve">④  </w:t>
      </w:r>
      <w:r>
        <w:t>现象：2026年国家网络安全宣传周在济南举行，国家网信办同步通报近期网络安全与数据安全风险，并发布《网络安全标识管理办法》。逻辑：在数据要素市场化加速的背景下，安全治理正从“合规检查”转向“标识认证+风险通报”的常态化机制，标识制度意在建立可追溯的产品信任链。研判：网络安全标识可能率先在政务云、算力枢纽和关键信息基础设施领域强制推行，中小安全厂商面临认证成本压力，行业集中度将进一步提升。</w:t>
      </w:r>
    </w:p>
    <w:p>
      <w:r>
        <w:rPr>
          <w:b/>
          <w:color w:val="5B6DE4"/>
        </w:rPr>
        <w:t xml:space="preserve">⑤  </w:t>
      </w:r>
      <w:r>
        <w:t>现象：国家网信办7月发布《小型个人信息处理者个人信息保护简化措施规定》，与2024年《促进和规范数据跨境流动规定》形成“减负+开放”组合。逻辑：监管层意识到过度合规成本会抑制中小企业和数据跨境业务活力，简化措施旨在平衡安全与效率，为数据要素市场培育更多合规主体。研判：预计2026年底前将出现首批适用简化措施的中小企业合规案例，但“小型”认定标准与地方执法尺度差异可能引发套利空间，需关注后续统一解释。</w:t>
      </w:r>
    </w:p>
    <w:p>
      <w:r>
        <w:rPr>
          <w:b/>
          <w:color w:val="5B6DE4"/>
        </w:rPr>
        <w:t xml:space="preserve">⑥  </w:t>
      </w:r>
      <w:r>
        <w:t>现象：日本2026年5月通过首部AI推进法，欧盟8月发布通用人工智能模型实施指南，美国6月出台AI国家安全备忘录；中国则以《生成式人工智能服务管理暂行办法》和《人工智能拟人化互动服务管理暂行办法》构建分层监管。逻辑：美欧日偏向“框架立法+安全审查”，中国更侧重“服务场景+内容标识”的敏捷治理，差异源于各自产业阶段与治理传统。研判：中国在AI服务标识与未成年人保护上已形成可输出经验，但通用大模型的基础安全评估标准仍待与国际互认，否则可能影响AI企业出海合规成本。</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