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生成日期：2026-06-26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《专家解读|建立健全数据安全风险评估制度筑牢国家数据安全屏障》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原文链接：https://www.cac.gov.cn/wxzw/zcfg/A093703index_1.htm</w:t>
      </w:r>
    </w:p>
    <w:p>
      <w:pPr>
        <w:ind w:left="240"/>
      </w:pPr>
      <w:r>
        <w:t>解读数据安全风险评估制度，强调筑牢国家数据安全屏障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《专家解读|高质量开展网络数据安全风险评估推动网络数据安全治理长效发展》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原文链接：https://www.cac.gov.cn/wxzw/zcfg/A093703index_1.htm</w:t>
      </w:r>
    </w:p>
    <w:p>
      <w:pPr>
        <w:ind w:left="240"/>
      </w:pPr>
      <w:r>
        <w:t>解读网络数据安全风险评估，推动治理长效发展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《专家解读|统筹网络发展和安全完善数据治理体系》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原文链接：https://www.cac.gov.cn/wxzw/zcfg/A093703index_1.htm</w:t>
      </w:r>
    </w:p>
    <w:p>
      <w:pPr>
        <w:ind w:left="240"/>
      </w:pPr>
      <w:r>
        <w:t>解读统筹网络发展与安全，完善数据治理体系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《专家解读|完善网络数据安全风险评估制度提升网络数据安全治理能力》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原文链接：https://www.cac.gov.cn/wxzw/zcfg/A093703index_1.htm</w:t>
      </w:r>
    </w:p>
    <w:p>
      <w:pPr>
        <w:ind w:left="240"/>
      </w:pPr>
      <w:r>
        <w:t>解读完善网络数据安全风险评估制度，提升治理能力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《《促进平台经济大中小企业协同发展行动方案》》</w:t>
      </w:r>
    </w:p>
    <w:p>
      <w:r>
        <w:rPr>
          <w:color w:val="646464"/>
          <w:sz w:val="20"/>
        </w:rPr>
        <w:t>文　　号：工信部联信管〔2026〕119号</w:t>
        <w:br/>
        <w:t>发文机关：工业和信息化部</w:t>
        <w:br/>
        <w:t>发文日期：2026-06-11</w:t>
        <w:br/>
        <w:t>原文链接：https://www.miit.gov.cn/zwgk/zcwj/</w:t>
      </w:r>
    </w:p>
    <w:p>
      <w:pPr>
        <w:ind w:left="240"/>
      </w:pPr>
      <w:r>
        <w:t>促进平台经济大中小企业协同发展，优化平台经济生态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《工信部印发《“人工智能+信息通信”创新发展实施意见(2026—2028年)》》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发文日期：2026-06-03</w:t>
        <w:br/>
        <w:t>原文链接：https://fjca.miit.gov.cn/xwdt/bsyw/art/2026/art_f325d5fe373141a28b31a6fa43377a5a.html</w:t>
      </w:r>
    </w:p>
    <w:p>
      <w:pPr>
        <w:ind w:left="240"/>
      </w:pPr>
      <w:r>
        <w:t>推动人工智能与信息通信融合创新，部署2026-2028年重点任务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《工业和信息化部召开高质量行业数据集建设工作座谈会》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发文日期：2026-06-08</w:t>
        <w:br/>
        <w:t>原文链接：https://xjca.miit.gov.cn/xwdt/bsyw/index.html</w:t>
      </w:r>
    </w:p>
    <w:p>
      <w:pPr>
        <w:ind w:left="240"/>
      </w:pPr>
      <w:r>
        <w:t>研讨高质量行业数据集建设，推动数据要素赋能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《《2026年数字经济发展工作要点》印发》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发文日期：2026-05-20</w:t>
        <w:br/>
        <w:t>原文链接：http://finance.people.com.cn/n1/2026/0521/c1004-40724157.html</w:t>
      </w:r>
    </w:p>
    <w:p>
      <w:pPr>
        <w:ind w:left="240"/>
      </w:pPr>
      <w:r>
        <w:t>部署2026年数字经济8方面重点任务，加快数据要素市场化改革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《《人工智能终端智能化分级》系列国家标准发布宣贯会》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发文日期：2026-05-12</w:t>
        <w:br/>
        <w:t>原文链接：https://xjca.miit.gov.cn/xwdt/bsyw/index.html</w:t>
      </w:r>
    </w:p>
    <w:p>
      <w:pPr>
        <w:ind w:left="240"/>
      </w:pPr>
      <w:r>
        <w:t>发布人工智能终端智能化分级系列国家标准，推动产业规范化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《规范网络平台招聘类信息发布的通知》</w:t>
      </w:r>
    </w:p>
    <w:p>
      <w:r>
        <w:rPr>
          <w:color w:val="646464"/>
          <w:sz w:val="20"/>
        </w:rPr>
        <w:t>文　　号：暂无</w:t>
        <w:br/>
        <w:t>发文机关：人力资源社会保障部、中央网信办等5部门</w:t>
        <w:br/>
        <w:t>发文日期：2026-01-15</w:t>
      </w:r>
    </w:p>
    <w:p>
      <w:pPr>
        <w:ind w:left="240"/>
      </w:pPr>
      <w:r>
        <w:t>规范网络平台招聘类信息发布，加强数据治理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2026年6月，网信办密集发布四篇专家解读文章，聚焦网络数据安全风险评估制度，标志着数据安全治理从立法宣示转向实操细则落地。此举意在为《数据安全法》提供可操作的评估框架，推动企业建立常态化风险自查机制。研判：后续将出台配套的评估指南和行业标准，数据安全合规成本可能上升，但有助于形成统一市场规则。</w:t>
      </w:r>
    </w:p>
    <w:p>
      <w:r>
        <w:rPr>
          <w:b/>
          <w:color w:val="5B6DE4"/>
        </w:rPr>
        <w:t xml:space="preserve">②  </w:t>
      </w:r>
      <w:r>
        <w:t>趋势2（技术路线）：工信部6月印发《“人工智能+信息通信”创新发展实施意见(2026—2028年)》，明确将AI与5G/6G、算力网络深度融合。这反映出政策从“AI产业化”转向“产业AI化”，重点推动通信基础设施智能化升级。研判：运营商和通信设备商将加速AI原生网络研发，算力调度与网络切片结合可能催生新商业模式，但需警惕标准碎片化风险。</w:t>
      </w:r>
    </w:p>
    <w:p>
      <w:r>
        <w:rPr>
          <w:b/>
          <w:color w:val="5B6DE4"/>
        </w:rPr>
        <w:t xml:space="preserve">③  </w:t>
      </w:r>
      <w:r>
        <w:t>趋势3（区域格局）：天津、青岛、成都、山西等多地密集发布2024-2026年算力与AI产业规划，均设定2026年量化目标。这表明地方竞争已从“抢项目”转向“拼生态”，算力基础设施成为区域数字经济竞赛的核心抓手。研判：2026年底将出现区域算力供需分化，东部沿海城市可能率先实现算力盈余，中西部需警惕重复建设与资源闲置。</w:t>
      </w:r>
    </w:p>
    <w:p>
      <w:r>
        <w:rPr>
          <w:b/>
          <w:color w:val="5B6DE4"/>
        </w:rPr>
        <w:t xml:space="preserve">④  </w:t>
      </w:r>
      <w:r>
        <w:t>趋势4（产业影响）：国家数据局5月印发《2026年数字经济发展工作要点》，首次将“数据要素市场化配置改革”列为首要任务，并明确推动公共数据授权运营价格形成机制。这标志着数据要素从“确权”阶段进入“定价与流通”深水区。研判：公共数据授权运营试点将加速扩围，但定价机制若缺乏透明监管，可能引发公平性争议。</w:t>
      </w:r>
    </w:p>
    <w:p>
      <w:r>
        <w:rPr>
          <w:b/>
          <w:color w:val="5B6DE4"/>
        </w:rPr>
        <w:t xml:space="preserve">⑤  </w:t>
      </w:r>
      <w:r>
        <w:t>趋势5（安全合规）：网信办1月发布《可能影响未成年人身心健康的网络信息分类办法》，将算法推荐与内容治理挂钩。此举延续了2025年以来对平台经济的强监管逻辑，但首次针对未成年人场景细化分类标准。研判：算法备案和内容审核义务将进一步下沉至中小平台，合规成本增加可能加速行业洗牌，利好头部合规企业。</w:t>
      </w:r>
    </w:p>
    <w:p>
      <w:r>
        <w:rPr>
          <w:b/>
          <w:color w:val="5B6DE4"/>
        </w:rPr>
        <w:t xml:space="preserve">⑥  </w:t>
      </w:r>
      <w:r>
        <w:t>趋势6（国际比较）：中国2026年聚焦“数据安全风险评估”与“AI+通信”融合，而欧盟同期推进《AI法案》分级执行，美国则通过行政令强化联邦机构AI采购安全。中国路径更侧重行业应用与安全评估并重，欧盟强调风险分级与基本权利保护，美国注重政府示范与供应链安全。启示：中国可借鉴欧盟的分级监管思路，避免“一刀切”抑制创新；同时需加快算力标准国际互认，应对美国技术封锁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