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规范互联网信息内容多渠道分发服务，加强内容管理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部署年度全民数字素养与技能提升工作重点任务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发文机关：国家网信办、工业和信息化部、公安部</w:t>
        <w:br/>
        <w:t>发文日期：2026-06-18</w:t>
        <w:br/>
        <w:t>原文链接：https://weibo.com/ttarticle/p/show?id=2309405315921706352708</w:t>
      </w:r>
    </w:p>
    <w:p>
      <w:pPr>
        <w:ind w:left="240"/>
      </w:pPr>
      <w:r>
        <w:t>规定重要数据每年风险评估，一般数据每三年一次，8月20日施行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发文机关：工业和信息化部、中央网信办、国家发展改革委、科技部、商务部、市场监管总局、国家数据局</w:t>
        <w:br/>
        <w:t>发文日期：2026-06-18</w:t>
        <w:br/>
        <w:t>原文链接：https://www.cics-cert.org.cn/web_root/webpage/articlecontent_101002_2070451507098030082.html</w:t>
      </w:r>
    </w:p>
    <w:p>
      <w:pPr>
        <w:ind w:left="240"/>
      </w:pPr>
      <w:r>
        <w:t>七部门联合推进平台经济大中小企业协同发展，系统部署行动方案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《2026年“模数共振”行动》</w:t>
      </w:r>
    </w:p>
    <w:p>
      <w:r>
        <w:rPr>
          <w:color w:val="646464"/>
          <w:sz w:val="20"/>
        </w:rPr>
        <w:t>文　　号：暂无</w:t>
        <w:br/>
        <w:t>发文机关：工业和信息化部办公厅、国家数据局综合司</w:t>
        <w:br/>
        <w:t>发文日期：2026-04-28</w:t>
      </w:r>
    </w:p>
    <w:p>
      <w:pPr>
        <w:ind w:left="240"/>
      </w:pPr>
      <w:r>
        <w:t>面向制造业20个重点行业，推动AI赋能新型工业化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《EU AI Act 正式生效》</w:t>
      </w:r>
    </w:p>
    <w:p>
      <w:r>
        <w:rPr>
          <w:color w:val="646464"/>
          <w:sz w:val="20"/>
        </w:rPr>
        <w:t>文　　号：暂无</w:t>
        <w:br/>
        <w:t>发文机关：European Commission</w:t>
        <w:br/>
        <w:t>发文日期：2026-06-01</w:t>
      </w:r>
    </w:p>
    <w:p>
      <w:pPr>
        <w:ind w:left="240"/>
      </w:pPr>
      <w:r>
        <w:t>欧盟人工智能法案全面生效，高风险AI系统须合规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《Japan AI policy 2026》</w:t>
      </w:r>
    </w:p>
    <w:p>
      <w:r>
        <w:rPr>
          <w:color w:val="646464"/>
          <w:sz w:val="20"/>
        </w:rPr>
        <w:t>文　　号：暂无</w:t>
        <w:br/>
        <w:t>发文机关：日本デジタル庁</w:t>
        <w:br/>
        <w:t>发文日期：2026-03-31</w:t>
      </w:r>
    </w:p>
    <w:p>
      <w:pPr>
        <w:ind w:left="240"/>
      </w:pPr>
      <w:r>
        <w:t>日本发布2026年AI政策框架，推动可信AI与产业应用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《US Executive Order on AI Safety and Trustworthiness》</w:t>
      </w:r>
    </w:p>
    <w:p>
      <w:r>
        <w:rPr>
          <w:color w:val="646464"/>
          <w:sz w:val="20"/>
        </w:rPr>
        <w:t>文　　号：暂无</w:t>
        <w:br/>
        <w:t>发文机关：White House</w:t>
        <w:br/>
        <w:t>发文日期：2026-01-15</w:t>
      </w:r>
    </w:p>
    <w:p>
      <w:pPr>
        <w:ind w:left="240"/>
      </w:pPr>
      <w:r>
        <w:t>美国行政令要求AI系统安全测试与透明度报告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加速细化）：2026年二季度密集出台《网络数据安全风险评估办法》《人工智能拟人化互动服务管理暂行办法》等规章，标志着中国数字治理从宏观框架进入具体场景的精细化监管阶段。逻辑上，AI拟人化服务与数据安全风险评估均针对快速商业化的应用痛点，旨在平衡创新与安全。研判：下半年将围绕AI生成内容标识、数据跨境流动等出台更多操作性细则，企业合规成本短期上升，但长期利于市场秩序。</w:t>
      </w:r>
    </w:p>
    <w:p>
      <w:r>
        <w:rPr>
          <w:b/>
          <w:color w:val="5B6DE4"/>
        </w:rPr>
        <w:t xml:space="preserve">②  </w:t>
      </w:r>
      <w:r>
        <w:t>趋势2（AI赋能制造业从试点走向规模化）：工信部与国家数据局联合启动“模数共振”行动，面向20个重点行业推动AI模型与数据集协同，这是继“工业互联网平台高质量发展行动”后的又一产业政策。逻辑上，制造业数字化转型已从单点试验转向行业级系统推进，数据与模型成为新型生产要素。研判：2026年下半年将涌现一批行业级AI智能体与数据集标杆，带动工业软件与智能装备需求增长。</w:t>
      </w:r>
    </w:p>
    <w:p>
      <w:r>
        <w:rPr>
          <w:b/>
          <w:color w:val="5B6DE4"/>
        </w:rPr>
        <w:t xml:space="preserve">③  </w:t>
      </w:r>
      <w:r>
        <w:t>趋势3（算力布局从东数西算走向区域精细化）：天津、青岛、贵阳、黑龙江等地相继发布算力产业方案，强调通用算力、智能算力、超算一体化，并明确2026年目标。逻辑上，国家东数西算宏观布局后，地方需结合自身产业优势（如天津的京津冀协同、贵阳的数据中心集群）制定差异化路径。研判：算力资源将出现区域竞争与协同并存局面，智能算力成为各地争夺焦点，可能催生跨区域算力调度市场。</w:t>
      </w:r>
    </w:p>
    <w:p>
      <w:r>
        <w:rPr>
          <w:b/>
          <w:color w:val="5B6DE4"/>
        </w:rPr>
        <w:t xml:space="preserve">④  </w:t>
      </w:r>
      <w:r>
        <w:t>趋势4（平台经济治理转向协同发展）：七部门联合印发《促进平台经济大中小企业协同发展行动方案（2026—2028年）》，从过去强监管转向促进生态协同。逻辑上，平台经济在经历反垄断整顿后，政策重心转向发挥其带动中小企业数字化转型的杠杆作用。研判：未来三年将出台更多激励平台开放数据与技术的政策，但反垄断常态化监管仍会保留底线。</w:t>
      </w:r>
    </w:p>
    <w:p>
      <w:r>
        <w:rPr>
          <w:b/>
          <w:color w:val="5B6DE4"/>
        </w:rPr>
        <w:t xml:space="preserve">⑤  </w:t>
      </w:r>
      <w:r>
        <w:t>趋势5（数据安全风险评估制度化）：《网络数据安全风险评估办法》明确重要数据年度评估、一般数据三年一次，并允许第三方机构参与。逻辑上，这是《数据安全法》的落地延伸，将数据安全从原则性要求转化为可操作的周期义务。研判：第三方评估机构将迎来市场爆发，但资质认定与责任划分仍需细化；企业数据分类分级工作将加速推进。</w:t>
      </w:r>
    </w:p>
    <w:p>
      <w:r>
        <w:rPr>
          <w:b/>
          <w:color w:val="5B6DE4"/>
        </w:rPr>
        <w:t xml:space="preserve">⑥  </w:t>
      </w:r>
      <w:r>
        <w:t>趋势6（国际比较：中国侧重产业赋能，欧美侧重风险管控）：中国2026年政策聚焦AI赋能制造业（模数共振）与平台协同发展，而欧盟AI Act全面生效强调高风险系统合规，美国行政令要求安全测试与透明度。逻辑上，中国更注重AI作为生产力工具的经济效益，欧美则更关注公民权利与安全风险。研判：中国模式可能更快推动AI在工业领域的渗透率，但国际互认与跨境合规将成为出海企业的核心挑战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