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生成日期：2026-10-07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发文机关：国家药品监督管理局药品审评中心</w:t>
        <w:br/>
        <w:t>发文日期：2026-09-23</w:t>
        <w:br/>
        <w:t>原文链接：https://www.cde.org.cn/</w:t>
      </w:r>
    </w:p>
    <w:p>
      <w:pPr>
        <w:ind w:left="240"/>
      </w:pPr>
      <w:r>
        <w:t>明确药物临床试验电子数据ALCOA++原则，规范计算机化系统数据治理要求。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号：国家网信办、工业和信息化部、公安部令第24号</w:t>
        <w:br/>
        <w:t>发文机关：国家互联网信息办公室、工业和信息化部、公安部</w:t>
        <w:br/>
        <w:t>发文日期：2026-08-20</w:t>
        <w:br/>
        <w:t>原文链接：https://www.cac.gov.cn/</w:t>
      </w:r>
    </w:p>
    <w:p>
      <w:pPr>
        <w:ind w:left="240"/>
      </w:pPr>
      <w:r>
        <w:t>规范网络数据安全风险评估活动，明确评估主体、流程与法律责任，自2026年8月20日起施行。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《数字乡村高质量发展行动计划（2026—2030年）》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发文日期：2026-09-11</w:t>
        <w:br/>
        <w:t>原文链接：https://www.cac.gov.cn/wxzw/zcfg/A093703index_1.htm</w:t>
      </w:r>
    </w:p>
    <w:p>
      <w:pPr>
        <w:ind w:left="240"/>
      </w:pPr>
      <w:r>
        <w:t>部署数字乡村高质量发展五年行动，推进乡村数字基础设施与数据要素应用。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《促进数字化绿色化协同转型发展实施方案（2026—2030年）》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发文日期：2026-09-04</w:t>
        <w:br/>
        <w:t>原文链接：https://www.cac.gov.cn/wxzw/zcfg/zcwj/A09370306index_1.htm</w:t>
      </w:r>
    </w:p>
    <w:p>
      <w:pPr>
        <w:ind w:left="240"/>
      </w:pPr>
      <w:r>
        <w:t>推动数字化与绿色化协同转型，明确算力能效、数据中心绿色化等五年任务。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《促进网信企业高质量发展行动计划（2026—2030年）》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发文日期：2026-08-21</w:t>
        <w:br/>
        <w:t>原文链接：https://www.cac.gov.cn/wxzw/zcfg/zcwj/A09370306index_1.htm</w:t>
      </w:r>
    </w:p>
    <w:p>
      <w:pPr>
        <w:ind w:left="240"/>
      </w:pPr>
      <w:r>
        <w:t>面向网信企业提出高质量发展五年行动，涵盖技术创新、数据合规与产业生态。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《药物临床试验电子数据指导原则》</w:t>
      </w:r>
    </w:p>
    <w:p>
      <w:r>
        <w:rPr>
          <w:color w:val="646464"/>
          <w:sz w:val="20"/>
        </w:rPr>
        <w:t>文　　号：暂无</w:t>
        <w:br/>
        <w:t>发文机关：国家药品监督管理局药品审评中心</w:t>
        <w:br/>
        <w:t>发文日期：2026-09-23</w:t>
        <w:br/>
        <w:t>原文链接：https://www.cde.org.cn/</w:t>
      </w:r>
    </w:p>
    <w:p>
      <w:pPr>
        <w:ind w:left="240"/>
      </w:pPr>
      <w:r>
        <w:t>明确药物临床试验电子数据ALCOA++原则，规范计算机化系统数据治理要求。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《小型个人信息处理者个人信息保护简化措施规定》</w:t>
      </w:r>
    </w:p>
    <w:p>
      <w:r>
        <w:rPr>
          <w:color w:val="646464"/>
          <w:sz w:val="20"/>
        </w:rPr>
        <w:t>文　　号：暂无</w:t>
        <w:br/>
        <w:t>发文机关：国家互联网信息办公室、公安部</w:t>
        <w:br/>
        <w:t>发文日期：2026-07-24</w:t>
        <w:br/>
        <w:t>原文链接：http://www.gdwx.gov.cn/</w:t>
      </w:r>
    </w:p>
    <w:p>
      <w:pPr>
        <w:ind w:left="240"/>
      </w:pPr>
      <w:r>
        <w:t>对小型个人信息处理者设定简化合规义务，降低中小主体个人信息保护合规成本。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《关于推动互联网基础资源高质量发展的指导意见》</w:t>
      </w:r>
    </w:p>
    <w:p>
      <w:r>
        <w:rPr>
          <w:color w:val="646464"/>
          <w:sz w:val="20"/>
        </w:rPr>
        <w:t>文　　号：暂无</w:t>
        <w:br/>
        <w:t>发文机关：工业和信息化部、中央网信办、国家发展改革委、国家数据局</w:t>
        <w:br/>
        <w:t>发文日期：2026-07-01</w:t>
        <w:br/>
        <w:t>原文链接：https://www.miit.gov.cn/</w:t>
      </w:r>
    </w:p>
    <w:p>
      <w:pPr>
        <w:ind w:left="240"/>
      </w:pPr>
      <w:r>
        <w:t>四部门联合部署互联网基础资源高质量发展，强化域名、IP地址等资源管理与安全。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《深化互联网协议第六版（IPv6）技术创新和融合应用实施方案（2026—2030年）》</w:t>
      </w:r>
    </w:p>
    <w:p>
      <w:r>
        <w:rPr>
          <w:color w:val="646464"/>
          <w:sz w:val="20"/>
        </w:rPr>
        <w:t>文　　号：暂无</w:t>
        <w:br/>
        <w:t>发文机关：中央网络安全和信息化委员会办公室</w:t>
        <w:br/>
        <w:t>发文日期：2026-07-21</w:t>
        <w:br/>
        <w:t>原文链接：https://www.cac.gov.cn/wxzw/zcfg/zcwj/A09370306index_1.htm</w:t>
      </w:r>
    </w:p>
    <w:p>
      <w:pPr>
        <w:ind w:left="240"/>
      </w:pPr>
      <w:r>
        <w:t>部署IPv6技术创新与融合应用五年方案，推动网络基础设施向下一代协议演进。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现象：2026年8月20日施行的《网络数据安全风险评估办法》（网信办、工信部、公安部令第24号）首次以部门规章形式系统规定网络数据安全风险评估的主体、频次与报告义务。逻辑：此前数据安全法仅作原则性要求，企业合规缺乏可操作标准，该办法将风险评估从“倡导”转为“强制”，并与等保、关基保护形成制度衔接。研判：预计2026年底前将出现首批评估机构备案与评估报告抽查，金融、医疗、车联网等数据密集行业合规成本短期上升，但长期利好第三方数据安全服务市场。</w:t>
      </w:r>
    </w:p>
    <w:p>
      <w:r>
        <w:rPr>
          <w:b/>
          <w:color w:val="5B6DE4"/>
        </w:rPr>
        <w:t xml:space="preserve">②  </w:t>
      </w:r>
      <w:r>
        <w:t>现象：网信办2026年9月连续发布《数字乡村高质量发展行动计划（2026—2030年）》与《促进数字化绿色化协同转型发展实施方案（2026—2030年）》，均以五年为周期。逻辑：数字中国建设进入“纵深落地”阶段，政策从单点突破转向乡村、绿色化等结构性短板，同时以“数字化+绿色化”双转型回应算力能耗与双碳目标。研判：数据中心PUE、算力能效将成硬约束，西部枢纽绿电消纳与东部算力需求间的调度机制有望在2027年前出台细化规则。</w:t>
      </w:r>
    </w:p>
    <w:p>
      <w:r>
        <w:rPr>
          <w:b/>
          <w:color w:val="5B6DE4"/>
        </w:rPr>
        <w:t xml:space="preserve">③  </w:t>
      </w:r>
      <w:r>
        <w:t>现象：工信部、网信办、发改委、国家数据局2026年7月联合印发《关于推动互联网基础资源高质量发展的指导意见》，同期IPv6融合应用实施方案（2026—2030年）落地。逻辑：互联网基础资源（域名、IP、AS号）是数字经济的“根”，此前管理分散、安全事件频发，四部门联合意在统筹资源分配与安全治理。研判：IPv6规模部署将从“通路”转向“应用”，政务、金融、能源系统IPv6单栈改造或成下一阶段考核重点，相关网络设备与安全厂商迎来替换窗口。</w:t>
      </w:r>
    </w:p>
    <w:p>
      <w:r>
        <w:rPr>
          <w:b/>
          <w:color w:val="5B6DE4"/>
        </w:rPr>
        <w:t xml:space="preserve">④  </w:t>
      </w:r>
      <w:r>
        <w:t>现象：国家数据局2025年底发布《关于促进数据产业高质量发展的指导意见》，配合此前公共数据资源授权运营实施规范，形成“公共数据开放—授权运营—产业培育”链条。逻辑：数据要素市场化改革的核心堵点在于公共数据“不敢开、不愿开”，国家数据局以授权运营模式绕开确权争议，先让数据“用起来”。研判：2026—2027年地方数据集团将密集成立，但收益分配与定价机制仍缺上位法，需警惕地方平台垄断数据资源、挤压中小数据企业空间。</w:t>
      </w:r>
    </w:p>
    <w:p>
      <w:r>
        <w:rPr>
          <w:b/>
          <w:color w:val="5B6DE4"/>
        </w:rPr>
        <w:t xml:space="preserve">⑤  </w:t>
      </w:r>
      <w:r>
        <w:t>现象：网信办2026年7月发布《小型个人信息处理者个人信息保护简化措施规定》，对中小主体设定简化合规义务。逻辑：个人信息保护法实施后，小微企业合规负担过重、执行率低，监管转向“分级分类”思路，以简化措施换取实际遵从。研判：这标志着中国数据合规从“一刀切”走向“精准监管”，未来可能进一步按行业、数据量级分层设定义务，但需防止简化被滥用为规避责任的通道。</w:t>
      </w:r>
    </w:p>
    <w:p>
      <w:r>
        <w:rPr>
          <w:b/>
          <w:color w:val="5B6DE4"/>
        </w:rPr>
        <w:t xml:space="preserve">⑥  </w:t>
      </w:r>
      <w:r>
        <w:t>现象：欧盟AI Act已进入分阶段实施，美国以行政令与NIST框架推进AI安全，日本数字厅2026年持续推动AI与数据治理立法；中国则以《生成式人工智能服务管理暂行办法》《人工智能生成合成内容标识办法》及网信办系列行动计划构建“敏捷治理”体系。逻辑：欧美偏重风险分级与基本权利保护，中国更强调内容安全与产业发展并重，日本侧重“可信AI”与国际标准对接。研判：中国在AI标识、算法备案上的先行经验可能被更多国家借鉴，但跨境AI服务合规碎片化将加剧，企业需同时应对欧盟高风险清单与中国备案制，建议关注2027年可能的国际互认动向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