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  <w:br/>
        <w:t>原文链接：http://m.app.cctv.com/vsetv/detail/C10336/9b5db7347c3b4aab8cb495157479a946/index.shtml</w:t>
      </w:r>
    </w:p>
    <w:p>
      <w:pPr>
        <w:ind w:left="240"/>
      </w:pPr>
      <w:r>
        <w:t>规范互联网用户账号信息管理，明确平台核验责任与用户义务，今日起施行。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《8月新规：涉及就业、环保、数据安全等》</w:t>
      </w:r>
    </w:p>
    <w:p>
      <w:r>
        <w:rPr>
          <w:color w:val="646464"/>
          <w:sz w:val="20"/>
        </w:rPr>
        <w:t>文　　号：暂无</w:t>
        <w:br/>
        <w:t>发文机关：多部门联合</w:t>
        <w:br/>
        <w:t>发文日期：2026-08-01</w:t>
        <w:br/>
        <w:t>原文链接：http://cn.chinagate.cn/news/2026-07/30/content_118625098.shtml</w:t>
      </w:r>
    </w:p>
    <w:p>
      <w:pPr>
        <w:ind w:left="240"/>
      </w:pPr>
      <w:r>
        <w:t>一批新规8月起施行，涵盖就业、环保、数据安全等领域，细化监管要求。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公布2026年5-6月生成式AI服务备案信息，强化大模型合规监管透明度。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发布首批网络安全标识产品目录及实施规则，推动安全产品规范化标识。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三部门联合公布风险评估办法，规范网络数据安全风险评估机制。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广西启动AI+电竞创新大赛，推动人工智能技术融合应用与产业培育。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八部门联合印发，建立高效便利安全的汽车数据跨境流动机制。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发文日期：2026-05-21</w:t>
        <w:br/>
        <w:t>原文链接：https://www.gov.cn/lianbo/202605/content_7069803.htm</w:t>
      </w:r>
    </w:p>
    <w:p>
      <w:pPr>
        <w:ind w:left="240"/>
      </w:pPr>
      <w:r>
        <w:t>部署8方面任务，深化数据要素市场化改革，加快建设全国一体化算力网。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《“人工智能+信息通信”创新发展实施意见（2026—2028年）》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发文日期：2026-06-12</w:t>
        <w:br/>
        <w:t>原文链接：https://www.hbqj.gov.cn/sjjhxxhj/zfxxgk/zc/bbmwj/202606/t20260612_5957098.html</w:t>
      </w:r>
    </w:p>
    <w:p>
      <w:pPr>
        <w:ind w:left="240"/>
      </w:pPr>
      <w:r>
        <w:t>构建三级算力设施体系，推动算力、模型、应用一体化协同创新。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《关于开展普惠算力赋能中小企业发展专项行动的通知》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发文日期：2026-04-03</w:t>
        <w:br/>
        <w:t>原文链接：https://gyxxh.tj.gov.cn/ZWGK4147/ZCWJ6355/gjjwj/202604/t20260403_7275768.html</w:t>
      </w:r>
    </w:p>
    <w:p>
      <w:pPr>
        <w:ind w:left="240"/>
      </w:pPr>
      <w:r>
        <w:t>提升算力普惠易用水平，降低中小企业用算成本，支撑数字化转型。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《2026年人工智能券（算力券）兑付申报通知》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发文日期：2026-05-01</w:t>
      </w:r>
    </w:p>
    <w:p>
      <w:pPr>
        <w:ind w:left="240"/>
      </w:pPr>
      <w:r>
        <w:t>浙江启动2026年AI算力券兑付申报，利用超长期特别国债降低算力成本。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《2026年度苏州市“科创指数惠”（人工智能算力补贴）工作通知》</w:t>
      </w:r>
    </w:p>
    <w:p>
      <w:r>
        <w:rPr>
          <w:color w:val="646464"/>
          <w:sz w:val="20"/>
        </w:rPr>
        <w:t>文　　号：暂无</w:t>
        <w:br/>
        <w:t>发文机关：苏州市科学技术局</w:t>
        <w:br/>
        <w:t>发文日期：2026-04-08</w:t>
        <w:br/>
        <w:t>原文链接：https://sst.suzhou.gov.cn/ndaservplat/Apps/sme/index.php?s=/Home/Notice/noticeDetail/id/1350</w:t>
      </w:r>
    </w:p>
    <w:p>
      <w:pPr>
        <w:ind w:left="240"/>
      </w:pPr>
      <w:r>
        <w:t>对苏州科技企业按智算租用费30%给予补贴，每年最高200万元。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数据要素市场化进入深水区。国家数据局《2026年数字经济发展工作要点》明确提出加快建立全国统一数据产权登记制度，并推动公共数据授权运营价格机制落地。这一系列动作表明，数据要素改革正从顶层设计转向具体操作细则的制定，特别是价格形成机制的确立，是数据从资源变为资产的关键一步。下一步，预计将有一批数据产权登记、定价、交易的地方试点细则出台，但如何平衡公共数据公益属性与市场化运营之间的关系，仍是制度落地的最大难点。</w:t>
      </w:r>
    </w:p>
    <w:p>
      <w:r>
        <w:rPr>
          <w:b/>
          <w:color w:val="5B6DE4"/>
        </w:rPr>
        <w:t xml:space="preserve">②  </w:t>
      </w:r>
      <w:r>
        <w:t>趋势2（技术路线）：算力政策重心从“建设”转向“普惠应用”。工信部4月启动普惠算力赋能中小企业专项行动，浙江、苏州等地相继推出算力券、算力补贴政策，国家层面则通过超长期特别国债资金支持算力资源优化配置。这标志着算力政策逻辑已从东数西算的基础设施铺建，转向降低用算门槛、激活中小企业智能化需求。未来，算力使用成本将显著下降，但需警惕地方算力补贴可能引发的重复建设与资源浪费，全国统一的算力调度与结算机制亟待完善。</w:t>
      </w:r>
    </w:p>
    <w:p>
      <w:r>
        <w:rPr>
          <w:b/>
          <w:color w:val="5B6DE4"/>
        </w:rPr>
        <w:t xml:space="preserve">③  </w:t>
      </w:r>
      <w:r>
        <w:t>趋势3（区域格局）：地方AI政策呈现“场景驱动+差异化竞争”特征。广西聚焦面向东盟的AI合作，提出“北上广研发+广西集成+东盟应用”路径；苏州、浙江侧重算力补贴直接降低企业成本；北京、深圳则强调制造业数字化转型。这种区域分化反映出各地正根据自身产业基础和地缘优势寻找AI落地切口。值得关注的是，广西模式为内陆省份提供了“借船出海”的新思路，但能否形成可持续的算力需求与产业闭环，仍需观察其与东盟市场的实际连接深度。</w:t>
      </w:r>
    </w:p>
    <w:p>
      <w:r>
        <w:rPr>
          <w:b/>
          <w:color w:val="5B6DE4"/>
        </w:rPr>
        <w:t xml:space="preserve">④  </w:t>
      </w:r>
      <w:r>
        <w:t>趋势4（产业影响）：汽车数据跨境流动成为数据治理先行先试的突破口。工信部等八部门2月发布的《汽车数据出境安全指引（2026版）》，是首个针对特定行业的数据出境专项指引，其意义远超汽车产业本身。该指引在确保安全前提下显著提升了数据出境便利化水平，体现了“在发展中规范、在规范中发展”的监管思路。此举为其他行业（如金融、医疗）的数据跨境流动规则制定提供了范本，预计年内将有更多行业版数据出境指引出台，但企业需注意不同行业规则之间的衔接与合规成本叠加。</w:t>
      </w:r>
    </w:p>
    <w:p>
      <w:r>
        <w:rPr>
          <w:b/>
          <w:color w:val="5B6DE4"/>
        </w:rPr>
        <w:t xml:space="preserve">⑤  </w:t>
      </w:r>
      <w:r>
        <w:t>趋势5（安全合规）：AI监管进入“备案+标识+评估”的组合拳时代。网信办7月连续发布生成式AI服务备案公告、网络安全标识产品目录，加上6月出台的网络数据安全风险评估办法，一套覆盖AI全生命周期的监管工具体系正在成型。特别是网络安全标识制度的落地，将安全要求从软件层延伸到硬件产品层，意味着AI算力基础设施的供应链安全将被纳入监管视野。对于AI企业而言，合规已从单一算法备案转向数据、模型、产品、系统的全方位合规，合规成本将显著上升，行业洗牌或加速。</w:t>
      </w:r>
    </w:p>
    <w:p>
      <w:r>
        <w:rPr>
          <w:b/>
          <w:color w:val="5B6DE4"/>
        </w:rPr>
        <w:t xml:space="preserve">⑥  </w:t>
      </w:r>
      <w:r>
        <w:t>趋势6（国际比较）：中美欧AI治理路径分化加剧，中国侧重产业赋能与安全并重。美国方面，特朗普政府延续了放松监管、鼓励创新的路线，AI政策重点在于保持技术领先和算力优势；欧盟则持续推进AI法案的分阶段实施，强调风险分级与基本权利保护，8月1日恰逢AI法案中部分高风险条款的适用节点；中国则走出了一条“产业促进+安全底线”的中间道路——一方面通过算力补贴、AI+行动等政策大力推动应用落地，另一方面通过备案制、标识制、数据出境评估等工具强化安全监管。对比可见，中国更强调AI对实体经济的赋能效率，欧盟更关注个体权利保护，美国更侧重技术竞争。对出海企业而言，三套合规体系的交叉重叠将带来显著挑战，尤其是数据跨境流动规则的分化，可能进一步割裂全球AI产业链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