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生成日期：2026-07-20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《关于发布生成式人工智能服务已备案信息的公告(2026年5月至6月)》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发文日期：2026-07-10</w:t>
        <w:br/>
        <w:t>原文链接：https://www.cac.gov.cn/wxzw/wxfb/A093702index_1.htm</w:t>
      </w:r>
    </w:p>
    <w:p>
      <w:pPr>
        <w:ind w:left="240"/>
      </w:pPr>
      <w:r>
        <w:t>公布2026年5-6月生成式AI服务备案信息，强化合规监管。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《工业和信息化部办公厅关于公布2025年国家自主创新示范区改革典型案例的通知》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发文日期：2026-07-16</w:t>
        <w:br/>
        <w:t>原文链接：https://www.miit.gov.cn/xbymdz/zwgk/index.html</w:t>
      </w:r>
    </w:p>
    <w:p>
      <w:pPr>
        <w:ind w:left="240"/>
      </w:pPr>
      <w:r>
        <w:t>公布2025年国家自主创新示范区改革典型案例，推广经验。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《工业和信息化部关于印发《推动工业互联网平台高质量发展行动方案(2026—2028年)》的通知》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发文日期：2026-07-10</w:t>
        <w:br/>
        <w:t>原文链接：https://www.miit.gov.cn/jgsj/xxjsfzs/index.html</w:t>
      </w:r>
    </w:p>
    <w:p>
      <w:pPr>
        <w:ind w:left="240"/>
      </w:pPr>
      <w:r>
        <w:t>印发行动方案，推动工业互联网平台未来三年高质量发展。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《关于印发《实施网络安全标识的产品目录(第一批)》及相关实施规则的通知》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发布首批网络安全标识产品目录及实施规则，规范市场。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《国家网信办等三部门联合公布《网络数据安全风险评估办法》》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三部门联合公布网络数据安全风险评估办法，强化数据治理。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《高质量数据集建设现场会在广东省广州市召开》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国家数据局召开高质量数据集建设现场会，推动数据要素应用。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《浙江省发展改革委关于省政协十三届三次会议第678号提案的答复》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支持之江人工智能公共算力平台建设，推动万卡集群算力供给。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四部门联合推动互联网基础资源高质量发展，强化基础设施。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《广西规上工业企业数智化转型工作指引(2026版)》</w:t>
      </w:r>
    </w:p>
    <w:p>
      <w:r>
        <w:rPr>
          <w:color w:val="646464"/>
          <w:sz w:val="20"/>
        </w:rPr>
        <w:t>文　　号：暂无</w:t>
        <w:br/>
        <w:t>发文机关：广西壮族自治区工业和信息化厅</w:t>
        <w:br/>
        <w:t>发文日期：2026-07-01</w:t>
      </w:r>
    </w:p>
    <w:p>
      <w:pPr>
        <w:ind w:left="240"/>
      </w:pPr>
      <w:r>
        <w:t>印发数智化转型工作指引，推动规上工业企业全域覆盖。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《专家解读|统筹高质量发展与高水平安全:从《智能体规范应用与创新发展实施意见》看ai产业新图景》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发文日期：2026-05-08</w:t>
        <w:br/>
        <w:t>原文链接：https://www.cac.gov.cn/wxzw/zcfg/A093703index_1.htm</w:t>
      </w:r>
    </w:p>
    <w:p>
      <w:pPr>
        <w:ind w:left="240"/>
      </w:pPr>
      <w:r>
        <w:t>专家解读智能体规范应用与创新发展实施意见，强调安全与发展。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《互联网信息服务深度合成管理规定》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发布深度合成管理规定，规范AI生成内容服务。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发布网络数据安全管理条例，强化数据安全保护。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《政务数据共享条例》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发布政务数据共享条例，促进政府数据开放共享。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《荆州市加快人工智能赋能新型工业化方案(2026-2028年)(征求意见稿)》</w:t>
      </w:r>
    </w:p>
    <w:p>
      <w:r>
        <w:rPr>
          <w:color w:val="646464"/>
          <w:sz w:val="20"/>
        </w:rPr>
        <w:t>文　　号：暂无</w:t>
        <w:br/>
        <w:t>发文机关：荆州市经信局</w:t>
        <w:br/>
        <w:t>发文日期：2026-02-10</w:t>
      </w:r>
    </w:p>
    <w:p>
      <w:pPr>
        <w:ind w:left="240"/>
      </w:pPr>
      <w:r>
        <w:t>荆州征求意见，推动AI赋能新型工业化，加速制造业数智化转型。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《肇庆高新区数字经济创新发展行动方案(2026-2028年)》</w:t>
      </w:r>
    </w:p>
    <w:p>
      <w:r>
        <w:rPr>
          <w:color w:val="646464"/>
          <w:sz w:val="20"/>
        </w:rPr>
        <w:t>文　　号：暂无</w:t>
        <w:br/>
        <w:t>发文机关：肇庆高新区管委会</w:t>
        <w:br/>
        <w:t>发文日期：2026-02-01</w:t>
      </w:r>
    </w:p>
    <w:p>
      <w:pPr>
        <w:ind w:left="240"/>
      </w:pPr>
      <w:r>
        <w:t>肇庆高新区发布数字经济行动方案，聚焦数据交易、AI、数字安全。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《深圳市工业和信息化局关于发布2026年企业技术改造扶持计划传统优势产业数字化转型项目申报的通知》</w:t>
      </w:r>
    </w:p>
    <w:p>
      <w:r>
        <w:rPr>
          <w:color w:val="646464"/>
          <w:sz w:val="20"/>
        </w:rPr>
        <w:t>文　　号：暂无</w:t>
        <w:br/>
        <w:t>发文机关：深圳市工业和信息化局</w:t>
        <w:br/>
        <w:t>发文日期：2026-02-09</w:t>
        <w:br/>
        <w:t>原文链接：http://gxj.sz.gov.cn/gkmlpt/content/12/12639/post_12639372.html</w:t>
      </w:r>
    </w:p>
    <w:p>
      <w:pPr>
        <w:ind w:left="240"/>
      </w:pPr>
      <w:r>
        <w:t>深圳组织传统优势产业数字化转型项目申报，支持技改升级。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《宁波高新区2026年第一批人工智能产业专项政策申报通知》</w:t>
      </w:r>
    </w:p>
    <w:p>
      <w:r>
        <w:rPr>
          <w:color w:val="646464"/>
          <w:sz w:val="20"/>
        </w:rPr>
        <w:t>文　　号：暂无</w:t>
        <w:br/>
        <w:t>发文机关：宁波新材料科技城管委会</w:t>
        <w:br/>
        <w:t>发文日期：2026-03-10</w:t>
      </w:r>
    </w:p>
    <w:p>
      <w:pPr>
        <w:ind w:left="240"/>
      </w:pPr>
      <w:r>
        <w:t>宁波高新区组织AI产业专项申报，支持边缘算力中心建设。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7月，工信部等四部门联合发布《关于推动互联网基础资源高质量发展的指导意见》，将互联网基础资源提升至国家战略高度。逻辑：此举旨在夯实数字经济的底座，通过优化域名、IP地址等基础资源管理，为算力网、工业互联网等上层应用提供更稳定、安全的支撑。研判：未来互联网基础资源将纳入国家新型基础设施统筹规划，可能推动IPv6规模部署和根服务器镜像节点建设，增强我国在全球互联网治理中的话语权。</w:t>
      </w:r>
    </w:p>
    <w:p>
      <w:r>
        <w:rPr>
          <w:b/>
          <w:color w:val="5B6DE4"/>
        </w:rPr>
        <w:t xml:space="preserve">②  </w:t>
      </w:r>
      <w:r>
        <w:t>现象：2026年7月，工信部印发《推动工业互联网平台高质量发展行动方案（2026—2028年）》，明确未来三年发展路线图。逻辑：工业互联网已从概念普及进入深耕阶段，该方案聚焦平台能力提升、应用场景拓展和生态构建，旨在解决当前平台“有量无质”、中小企业应用门槛高等问题。研判：预计将催生一批行业级、区域级工业互联网平台，并与算力网、AI大模型深度融合，形成“平台+算力+AI”的新型制造业赋能模式。</w:t>
      </w:r>
    </w:p>
    <w:p>
      <w:r>
        <w:rPr>
          <w:b/>
          <w:color w:val="5B6DE4"/>
        </w:rPr>
        <w:t xml:space="preserve">③  </w:t>
      </w:r>
      <w:r>
        <w:t>现象：2026年上半年，安徽、浙江、河南等多地密集出台算力券、算力补贴等政策，支持企业使用人工智能算力。逻辑：随着大模型训练和推理需求爆发，算力成为稀缺资源，地方政府通过财政补贴降低企业用算成本，旨在吸引AI企业落地、培育本地算力产业生态。研判：算力券政策将向普惠化、精细化方向发展，可能出现跨区域算力券互认机制，但需防范补贴滥用和算力资源闲置问题。</w:t>
      </w:r>
    </w:p>
    <w:p>
      <w:r>
        <w:rPr>
          <w:b/>
          <w:color w:val="5B6DE4"/>
        </w:rPr>
        <w:t xml:space="preserve">④  </w:t>
      </w:r>
      <w:r>
        <w:t>现象：2026年3月，《网络数据安全管理条例》《政务数据共享条例》等多项数据领域行政法规同时发布。逻辑：数据要素市场化配置改革进入深水区，国家通过立法明确数据权属、流通规则和安全底线，为数据资产化、资本化扫清制度障碍。研判：后续将配套出台数据资产评估、数据交易场所管理细则，数据要素市场将迎来爆发式增长，但数据跨境流动规则仍需与国际接轨。</w:t>
      </w:r>
    </w:p>
    <w:p>
      <w:r>
        <w:rPr>
          <w:b/>
          <w:color w:val="5B6DE4"/>
        </w:rPr>
        <w:t xml:space="preserve">⑤  </w:t>
      </w:r>
      <w:r>
        <w:t>现象：2026年5-6月，国家网信办发布新一批生成式AI服务备案信息，并出台《智能体规范应用与创新发展实施意见》。逻辑：生成式AI应用快速普及，但存在内容安全、算法歧视、知识产权等风险，监管从“事后处罚”转向“事前备案+事中评估”的全链条管理。研判：智能体（AI Agent）将成为下一阶段监管重点，预计将出台专门针对自主决策AI系统的安全评估标准，推动行业从野蛮生长走向合规创新。</w:t>
      </w:r>
    </w:p>
    <w:p>
      <w:r>
        <w:rPr>
          <w:b/>
          <w:color w:val="5B6DE4"/>
        </w:rPr>
        <w:t xml:space="preserve">⑥  </w:t>
      </w:r>
      <w:r>
        <w:t>现象：中国在2026年上半年密集出台算力、数据、AI监管政策，而美国通过行政令推动AI安全测试，欧盟《人工智能法案》逐步生效。逻辑：中国采取“发展+监管”双轮驱动模式，强调安全与发展并重；美国侧重自愿性安全承诺；欧盟则采用风险分级强制合规。研判：中国模式更有利于快速形成产业规模，但需警惕合规成本过高抑制创新；建议借鉴欧盟风险分级思路，对低风险AI应用实施“负面清单”管理，对高风险领域严格准入，以平衡创新与安全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